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D12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Контрольно-счетная комиссия</w:t>
      </w:r>
    </w:p>
    <w:p w14:paraId="25363D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Богородского муниципального округа Нижегородской области</w:t>
      </w:r>
    </w:p>
    <w:p w14:paraId="677FE2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-222885</wp:posOffset>
                </wp:positionH>
                <wp:positionV relativeFrom="paragraph">
                  <wp:posOffset>107950</wp:posOffset>
                </wp:positionV>
                <wp:extent cx="6372225" cy="9525"/>
                <wp:effectExtent l="0" t="0" r="0" b="0"/>
                <wp:wrapNone/>
                <wp:docPr id="3" name="Автофигур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72225" cy="95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Автофигуры 2" o:spid="_x0000_s1026" o:spt="32" type="#_x0000_t32" style="position:absolute;left:0pt;flip:y;margin-left:-17.55pt;margin-top:8.5pt;height:0.75pt;width:501.75pt;z-index:251659264;mso-width-relative:page;mso-height-relative:page;" filled="f" stroked="t" coordsize="21600,21600" o:gfxdata="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FOLq7PXAAAACQEAAA8AAAAAAAAAAQAgAAAAIgAAAGRy&#10;cy9kb3ducmV2LnhtbFBLAQIUABQAAAAIAIdO4kCoe7PKBgIAAAYEAAAOAAAAAAAAAAEAIAAAACYB&#10;AABkcnMvZTJvRG9jLnhtbFBLBQYAAAAABgAGAFkBAACe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7B8FA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Заключение</w:t>
      </w:r>
    </w:p>
    <w:p w14:paraId="308895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на годовой отчет об исполнении бюджета Богородского муниципального округа Нижегородской области за 202</w:t>
      </w:r>
      <w:r>
        <w:rPr>
          <w:rFonts w:hint="default" w:ascii="Times New Roman" w:hAnsi="Times New Roman" w:cs="Times New Roman"/>
          <w:b/>
          <w:bCs/>
          <w:color w:val="000000"/>
          <w:sz w:val="32"/>
          <w:szCs w:val="32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год</w:t>
      </w:r>
    </w:p>
    <w:p w14:paraId="1E860622">
      <w:pPr>
        <w:autoSpaceDE w:val="0"/>
        <w:autoSpaceDN w:val="0"/>
        <w:adjustRightInd w:val="0"/>
        <w:spacing w:after="0" w:line="240" w:lineRule="auto"/>
        <w:rPr>
          <w:rFonts w:eastAsia="Times New Roman,Bold" w:cs="Times New Roman,Bold"/>
          <w:bCs/>
          <w:color w:val="000000"/>
          <w:sz w:val="28"/>
          <w:szCs w:val="28"/>
        </w:rPr>
      </w:pPr>
    </w:p>
    <w:p w14:paraId="13BDF300">
      <w:pPr>
        <w:autoSpaceDE w:val="0"/>
        <w:autoSpaceDN w:val="0"/>
        <w:adjustRightInd w:val="0"/>
        <w:spacing w:after="0" w:line="240" w:lineRule="auto"/>
        <w:rPr>
          <w:rFonts w:eastAsia="Times New Roman,Bold" w:cs="Times New Roman,Bold"/>
          <w:bCs/>
          <w:color w:val="000000"/>
          <w:sz w:val="28"/>
          <w:szCs w:val="28"/>
        </w:rPr>
      </w:pPr>
    </w:p>
    <w:p w14:paraId="4F6FC9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Настоящее заключение подготовлено контрольно-счетной комиссией Богородского муниципального округа Нижегородской области  (далее – контрольно-счетная комиссия) в соответствии с нормами Бюджетного Кодекса Российской Федерации (далее – БК РФ), решениями Совета депутатов Богородского муниципального округа Нижегородской области от 09.10.2020 № 26 «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Об утверждении Положения о бюджетном процессе в Богородском муниципальном округе Нижегородской области» (далее – Положение о бюджетном процессе) и от 16.12.2021 № 203 «</w:t>
      </w:r>
      <w:r>
        <w:rPr>
          <w:rFonts w:ascii="Times New Roman" w:hAnsi="Times New Roman" w:cs="Times New Roman"/>
          <w:sz w:val="28"/>
          <w:szCs w:val="28"/>
        </w:rPr>
        <w:t>О наделении правами юридического лица контрольно-счетную комиссию Богородского муниципального округа Нижегородской области и об утверждении Положения о контрольно-счетной комиссии Богородского муниципального округа Нижегородской области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371E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03883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,Bold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/>
          <w:bCs/>
          <w:color w:val="000000"/>
          <w:sz w:val="28"/>
          <w:szCs w:val="28"/>
        </w:rPr>
        <w:t>Общие положения</w:t>
      </w:r>
    </w:p>
    <w:p w14:paraId="460132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>Отчет об исполнении бюджета Богородского муниципального округа Нижегородской области (далее – бюджет округа) за 202</w:t>
      </w:r>
      <w:r>
        <w:rPr>
          <w:rFonts w:hint="default"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</w:rPr>
        <w:t xml:space="preserve"> год представлен администрацией Богородского муниципального округа Нижегородской области 2</w:t>
      </w:r>
      <w:r>
        <w:rPr>
          <w:rFonts w:hint="default" w:ascii="Times New Roman" w:hAnsi="Times New Roman"/>
          <w:sz w:val="28"/>
          <w:szCs w:val="28"/>
          <w:lang w:val="ru-RU"/>
        </w:rPr>
        <w:t>7</w:t>
      </w:r>
      <w:r>
        <w:rPr>
          <w:rFonts w:ascii="Times New Roman" w:hAnsi="Times New Roman"/>
          <w:sz w:val="28"/>
          <w:szCs w:val="28"/>
        </w:rPr>
        <w:t>.03.202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в соответствии со сроками, установленными п. 3 ст. 264.4 БК РФ, главой 33 Положения о бюджетном процессе, с перечнем документов и материа</w:t>
      </w:r>
      <w:r>
        <w:rPr>
          <w:rFonts w:ascii="Times New Roman" w:hAnsi="Times New Roman"/>
          <w:sz w:val="28"/>
          <w:szCs w:val="28"/>
          <w:highlight w:val="none"/>
        </w:rPr>
        <w:t>лов, необходимых для его рассмотрения, определенных п.</w:t>
      </w: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highlight w:val="none"/>
        </w:rPr>
        <w:t>3 ст. 264.1, ст. 264.5 БК РФ, главой 34 Положения о бюджетном процессе</w:t>
      </w:r>
      <w:r>
        <w:rPr>
          <w:rFonts w:ascii="Arial" w:hAnsi="Arial" w:cs="Arial"/>
          <w:sz w:val="28"/>
          <w:szCs w:val="28"/>
          <w:highlight w:val="none"/>
        </w:rPr>
        <w:t>:</w:t>
      </w:r>
    </w:p>
    <w:p w14:paraId="5493C658">
      <w:pPr>
        <w:pStyle w:val="12"/>
        <w:widowControl w:val="0"/>
        <w:adjustRightInd w:val="0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1) проект решения Совета депутатов Богородского муниципального округа Нижегородской области </w:t>
      </w:r>
      <w:r>
        <w:rPr>
          <w:rFonts w:ascii="Times New Roman" w:hAnsi="Times New Roman"/>
          <w:sz w:val="28"/>
          <w:szCs w:val="28"/>
          <w:highlight w:val="none"/>
        </w:rPr>
        <w:t>«Об исполнении бюджета Богородского муниципального округа Нижегородской области за 202</w:t>
      </w: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>5</w:t>
      </w:r>
      <w:r>
        <w:rPr>
          <w:rFonts w:ascii="Times New Roman" w:hAnsi="Times New Roman"/>
          <w:sz w:val="28"/>
          <w:szCs w:val="28"/>
          <w:highlight w:val="none"/>
        </w:rPr>
        <w:t xml:space="preserve"> год»</w:t>
      </w:r>
      <w:r>
        <w:rPr>
          <w:rFonts w:ascii="Times New Roman" w:hAnsi="Times New Roman" w:cs="Times New Roman"/>
          <w:sz w:val="28"/>
          <w:szCs w:val="28"/>
          <w:highlight w:val="none"/>
        </w:rPr>
        <w:t>;</w:t>
      </w:r>
    </w:p>
    <w:p w14:paraId="225B12F2">
      <w:pPr>
        <w:pStyle w:val="12"/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2) баланс исполнения бюджета округа;</w:t>
      </w:r>
    </w:p>
    <w:p w14:paraId="56D81D0C">
      <w:pPr>
        <w:pStyle w:val="12"/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3) отчет о финансовых результатах деятельности;</w:t>
      </w:r>
    </w:p>
    <w:p w14:paraId="27D3974B">
      <w:pPr>
        <w:pStyle w:val="12"/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4) отчет о движении денежных средств;</w:t>
      </w:r>
    </w:p>
    <w:p w14:paraId="7FEFD858">
      <w:pPr>
        <w:pStyle w:val="12"/>
        <w:adjustRightInd w:val="0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5) пояснительная записка к годовому отчету об исполнении бюджета округа; </w:t>
      </w:r>
    </w:p>
    <w:p w14:paraId="37706F3E">
      <w:pPr>
        <w:pStyle w:val="12"/>
        <w:adjustRightInd w:val="0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6) отчет об использовании ассигнований резервных фондов администрации округа; </w:t>
      </w:r>
    </w:p>
    <w:p w14:paraId="02B44709">
      <w:pPr>
        <w:pStyle w:val="12"/>
        <w:widowControl w:val="0"/>
        <w:adjustRightInd w:val="0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7) информация о состоянии муниципального долга на начало и конец отчетного финансового года;</w:t>
      </w:r>
    </w:p>
    <w:p w14:paraId="3BEE0F7E">
      <w:pPr>
        <w:pStyle w:val="12"/>
        <w:widowControl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8) выписка из муниципальной долговой книги;</w:t>
      </w:r>
    </w:p>
    <w:p w14:paraId="5ACFD744">
      <w:pPr>
        <w:pStyle w:val="12"/>
        <w:widowControl w:val="0"/>
        <w:adjustRightInd w:val="0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9) информация за отчетный финансовый год об осуществлении бюджетных инвестиций в объекты капитального строительства с разбивкой по объектам капитального строительства и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строительства; </w:t>
      </w:r>
    </w:p>
    <w:p w14:paraId="13B16B56">
      <w:pPr>
        <w:pStyle w:val="12"/>
        <w:widowControl w:val="0"/>
        <w:adjustRightInd w:val="0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10) информация об использовании бюджетных ассигнований дорожного фонда муниципального округа;</w:t>
      </w:r>
    </w:p>
    <w:p w14:paraId="7B8C3750">
      <w:pPr>
        <w:pStyle w:val="12"/>
        <w:widowControl w:val="0"/>
        <w:adjustRightInd w:val="0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11) сводный годовой доклад о ходе реализации и об оценке эффективности муниципальных программ за отчетный финансовый год;</w:t>
      </w:r>
    </w:p>
    <w:p w14:paraId="48C94C22">
      <w:pPr>
        <w:pStyle w:val="12"/>
        <w:widowControl w:val="0"/>
        <w:adjustRightInd w:val="0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12) иная отчетность, предусмотренная действующим законодательством Российской Федерации.</w:t>
      </w:r>
    </w:p>
    <w:p w14:paraId="18DC95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>В соответствии с главой 32 Положения о бюджетном процессе, отчет об исполнении бюджета округа подлежит рассмотрению Советом депутатов Богородского муниципального округа Нижегородской области (далее – Совет депутатов) и утверждению с указанием общего объема доходов, расходов и дефицита (профицита) бюджета округа. Отдельными приложениями к решению Совета депутатов об исполнении бюджета округа за отчетный финансовый год утверждаются показатели:</w:t>
      </w:r>
    </w:p>
    <w:p w14:paraId="160554E5">
      <w:pPr>
        <w:numPr>
          <w:ilvl w:val="0"/>
          <w:numId w:val="1"/>
        </w:numPr>
        <w:tabs>
          <w:tab w:val="left" w:pos="0"/>
          <w:tab w:val="clear" w:pos="1260"/>
        </w:tabs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доходов бюджета округа по кодам классификации доходов бюджета; </w:t>
      </w:r>
    </w:p>
    <w:p w14:paraId="0F6B986A">
      <w:pPr>
        <w:numPr>
          <w:ilvl w:val="0"/>
          <w:numId w:val="1"/>
        </w:numPr>
        <w:tabs>
          <w:tab w:val="left" w:pos="0"/>
          <w:tab w:val="clear" w:pos="1260"/>
        </w:tabs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>расходов бюджета округа по ведомственной структуре расходов бюджета;</w:t>
      </w:r>
    </w:p>
    <w:p w14:paraId="4EB26DC3">
      <w:pPr>
        <w:numPr>
          <w:ilvl w:val="0"/>
          <w:numId w:val="1"/>
        </w:numPr>
        <w:tabs>
          <w:tab w:val="left" w:pos="0"/>
          <w:tab w:val="clear" w:pos="1260"/>
        </w:tabs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>расходов бюджета округа по разделам и подразделам классификации расходов бюджета;</w:t>
      </w:r>
    </w:p>
    <w:p w14:paraId="1EF719DB">
      <w:pPr>
        <w:numPr>
          <w:ilvl w:val="0"/>
          <w:numId w:val="1"/>
        </w:numPr>
        <w:tabs>
          <w:tab w:val="left" w:pos="0"/>
          <w:tab w:val="clear" w:pos="1260"/>
        </w:tabs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источников финансирования дефицита бюджета округа по кодам классификации источников финансирования дефицитов бюджетов.</w:t>
      </w:r>
    </w:p>
    <w:p w14:paraId="279B93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необходимые показатели в проекте решения «Об исполнении бюджета Богородского муниципального округа Нижегородской области за 202</w:t>
      </w:r>
      <w:r>
        <w:rPr>
          <w:rFonts w:hint="default"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</w:rPr>
        <w:t xml:space="preserve"> год» предусмотрены.</w:t>
      </w:r>
    </w:p>
    <w:p w14:paraId="79FEA8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31762DF4">
      <w:pPr>
        <w:pStyle w:val="12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 исполнения основных параметров прогноза социально-экономического развития</w:t>
      </w:r>
    </w:p>
    <w:p w14:paraId="653ED3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ст. 169 Бюджетного кодекса РФ, главы 13 Положения о бюджетном процессе бюджет округа формируется на основе прогноза социально-экономического развития Богородского муниципального округа (далее – Прогноз). Прогноз на 202</w:t>
      </w:r>
      <w:r>
        <w:rPr>
          <w:rFonts w:hint="default"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color w:val="000000"/>
          <w:sz w:val="28"/>
          <w:szCs w:val="28"/>
        </w:rPr>
        <w:t>и на плановый период 202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202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годов </w:t>
      </w:r>
      <w:r>
        <w:rPr>
          <w:rFonts w:ascii="Times New Roman" w:hAnsi="Times New Roman"/>
          <w:sz w:val="28"/>
          <w:szCs w:val="28"/>
        </w:rPr>
        <w:t xml:space="preserve">разработан с учетом Закона Нижегородской области от 03.03.2015 № 24-З «О стратегическом планировании в Нижегородской области». Прогноз социально-экономического развития округа одобрен постановлением администрации Богородского муниципального округа Нижегородской области от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01.11.2024</w:t>
      </w:r>
      <w:r>
        <w:rPr>
          <w:rFonts w:hint="default" w:ascii="Times New Roman" w:hAnsi="Times New Roman" w:cs="Times New Roman"/>
          <w:sz w:val="28"/>
          <w:szCs w:val="28"/>
        </w:rPr>
        <w:t xml:space="preserve"> №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5014</w:t>
      </w:r>
      <w:r>
        <w:rPr>
          <w:rFonts w:ascii="Times New Roman" w:hAnsi="Times New Roman" w:cs="Times New Roman"/>
          <w:sz w:val="28"/>
          <w:szCs w:val="28"/>
        </w:rPr>
        <w:t xml:space="preserve"> «О прогнозе социально-экономического развития Богородского муниципального округа Нижегородской области на </w:t>
      </w:r>
      <w:r>
        <w:rPr>
          <w:rFonts w:hint="default" w:ascii="Times New Roman" w:hAnsi="Times New Roman" w:cs="Times New Roman"/>
          <w:sz w:val="28"/>
          <w:szCs w:val="28"/>
        </w:rPr>
        <w:t>среднесрочный период (на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hint="default" w:ascii="Times New Roman" w:hAnsi="Times New Roman" w:cs="Times New Roman"/>
          <w:sz w:val="28"/>
          <w:szCs w:val="28"/>
        </w:rPr>
        <w:t xml:space="preserve"> год и на плановый период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hint="default" w:ascii="Times New Roman" w:hAnsi="Times New Roman" w:cs="Times New Roman"/>
          <w:sz w:val="28"/>
          <w:szCs w:val="28"/>
        </w:rPr>
        <w:t xml:space="preserve"> и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</w:t>
      </w:r>
      <w:r>
        <w:rPr>
          <w:rFonts w:hint="default" w:ascii="Times New Roman" w:hAnsi="Times New Roman" w:cs="Times New Roman"/>
          <w:sz w:val="28"/>
          <w:szCs w:val="28"/>
        </w:rPr>
        <w:t xml:space="preserve"> годов)».</w:t>
      </w:r>
    </w:p>
    <w:p w14:paraId="509573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мониторинга исполнения прогноза показателей социально-экономического развития представлены в таблице № 1:</w:t>
      </w:r>
    </w:p>
    <w:p w14:paraId="1CE3FDAC">
      <w:pPr>
        <w:shd w:val="clear" w:color="auto" w:fill="FFFFFF"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</w:p>
    <w:p w14:paraId="73B850CF">
      <w:pPr>
        <w:keepNext w:val="0"/>
        <w:keepLines w:val="0"/>
        <w:pageBreakBefore w:val="0"/>
        <w:widowControl/>
        <w:shd w:val="clear" w:color="auto" w:fill="FFFFFF"/>
        <w:tabs>
          <w:tab w:val="left" w:pos="0"/>
        </w:tabs>
        <w:suppressAutoHyphens/>
        <w:kinsoku/>
        <w:wordWrap/>
        <w:overflowPunct/>
        <w:topLinePunct w:val="0"/>
        <w:bidi w:val="0"/>
        <w:snapToGrid/>
        <w:spacing w:after="0" w:line="240" w:lineRule="auto"/>
        <w:jc w:val="right"/>
        <w:textAlignment w:val="auto"/>
        <w:rPr>
          <w:rFonts w:ascii="Times New Roman" w:hAnsi="Times New Roman"/>
          <w:color w:val="000000"/>
          <w:sz w:val="20"/>
          <w:szCs w:val="20"/>
          <w:lang w:eastAsia="ar-SA"/>
        </w:rPr>
      </w:pPr>
      <w:r>
        <w:rPr>
          <w:rFonts w:ascii="Times New Roman" w:hAnsi="Times New Roman"/>
          <w:color w:val="000000"/>
          <w:sz w:val="20"/>
          <w:szCs w:val="20"/>
          <w:lang w:eastAsia="ar-SA"/>
        </w:rPr>
        <w:t>Таблица №1</w:t>
      </w:r>
    </w:p>
    <w:tbl>
      <w:tblPr>
        <w:tblStyle w:val="4"/>
        <w:tblpPr w:leftFromText="180" w:rightFromText="180" w:vertAnchor="text" w:horzAnchor="page" w:tblpX="1711" w:tblpY="209"/>
        <w:tblOverlap w:val="never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37"/>
        <w:gridCol w:w="1701"/>
        <w:gridCol w:w="1984"/>
      </w:tblGrid>
      <w:tr w14:paraId="3D63A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0" w:hRule="atLeast"/>
        </w:trPr>
        <w:tc>
          <w:tcPr>
            <w:tcW w:w="5637" w:type="dxa"/>
            <w:vAlign w:val="center"/>
          </w:tcPr>
          <w:p w14:paraId="088E2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Основные параметры среднесрочного прогноза</w:t>
            </w:r>
          </w:p>
        </w:tc>
        <w:tc>
          <w:tcPr>
            <w:tcW w:w="1701" w:type="dxa"/>
            <w:vAlign w:val="center"/>
          </w:tcPr>
          <w:p w14:paraId="6B8CF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Прогноз</w:t>
            </w:r>
          </w:p>
          <w:p w14:paraId="05997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 xml:space="preserve"> на 202</w:t>
            </w: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 xml:space="preserve"> г.</w:t>
            </w:r>
          </w:p>
          <w:p w14:paraId="65B61F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1984" w:type="dxa"/>
            <w:vAlign w:val="center"/>
          </w:tcPr>
          <w:p w14:paraId="7BEDC4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highlight w:val="none"/>
              </w:rPr>
              <w:t>Факт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 xml:space="preserve"> исполнения показателя за 202</w:t>
            </w: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  <w:t xml:space="preserve">5 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 xml:space="preserve">г. </w:t>
            </w:r>
          </w:p>
        </w:tc>
      </w:tr>
      <w:tr w14:paraId="24DF2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37" w:type="dxa"/>
          </w:tcPr>
          <w:p w14:paraId="699C37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Объем отгруженной продукции по полному кругу организаций, млн.руб.</w:t>
            </w:r>
          </w:p>
        </w:tc>
        <w:tc>
          <w:tcPr>
            <w:tcW w:w="1701" w:type="dxa"/>
          </w:tcPr>
          <w:p w14:paraId="34A43C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2</w:t>
            </w: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  <w:t>5 626,1</w:t>
            </w:r>
          </w:p>
        </w:tc>
        <w:tc>
          <w:tcPr>
            <w:tcW w:w="1984" w:type="dxa"/>
          </w:tcPr>
          <w:p w14:paraId="66B0C9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  <w:t>30 431,4</w:t>
            </w:r>
          </w:p>
        </w:tc>
      </w:tr>
      <w:tr w14:paraId="2C4C3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37" w:type="dxa"/>
          </w:tcPr>
          <w:p w14:paraId="4A2C6C13">
            <w:pPr>
              <w:pStyle w:val="15"/>
              <w:ind w:firstLine="0"/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Индекс производства, % к предыдущему году</w:t>
            </w:r>
          </w:p>
          <w:p w14:paraId="0C7860B8">
            <w:pPr>
              <w:pStyle w:val="15"/>
              <w:ind w:firstLine="0"/>
              <w:jc w:val="both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701" w:type="dxa"/>
          </w:tcPr>
          <w:p w14:paraId="443BA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102,6</w:t>
            </w:r>
          </w:p>
        </w:tc>
        <w:tc>
          <w:tcPr>
            <w:tcW w:w="1984" w:type="dxa"/>
          </w:tcPr>
          <w:p w14:paraId="247B7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11</w:t>
            </w: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  <w:t>0,3</w:t>
            </w:r>
          </w:p>
        </w:tc>
      </w:tr>
      <w:tr w14:paraId="7B034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37" w:type="dxa"/>
          </w:tcPr>
          <w:p w14:paraId="61205C45">
            <w:pPr>
              <w:pStyle w:val="15"/>
              <w:ind w:firstLine="0"/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Объем отгруженных товаров собственного производства, выполненных работ и услуг собственными силами по крупным и средним предприятиям по обрабатывающим производствам, млн. руб.</w:t>
            </w:r>
          </w:p>
        </w:tc>
        <w:tc>
          <w:tcPr>
            <w:tcW w:w="1701" w:type="dxa"/>
          </w:tcPr>
          <w:p w14:paraId="694F2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  <w:t xml:space="preserve">8 278,6 </w:t>
            </w:r>
          </w:p>
        </w:tc>
        <w:tc>
          <w:tcPr>
            <w:tcW w:w="1984" w:type="dxa"/>
          </w:tcPr>
          <w:p w14:paraId="77099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8 152,5</w:t>
            </w:r>
          </w:p>
        </w:tc>
      </w:tr>
      <w:tr w14:paraId="5D324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5637" w:type="dxa"/>
          </w:tcPr>
          <w:p w14:paraId="63961BA8">
            <w:pPr>
              <w:pStyle w:val="15"/>
              <w:ind w:firstLine="0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Индекс производства по обрабатывающим производствам, % к предыдущему году</w:t>
            </w:r>
          </w:p>
        </w:tc>
        <w:tc>
          <w:tcPr>
            <w:tcW w:w="1701" w:type="dxa"/>
          </w:tcPr>
          <w:p w14:paraId="230B8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10</w:t>
            </w: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  <w:t>0,0</w:t>
            </w:r>
          </w:p>
        </w:tc>
        <w:tc>
          <w:tcPr>
            <w:tcW w:w="1984" w:type="dxa"/>
          </w:tcPr>
          <w:p w14:paraId="39DA28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  <w:t>77</w:t>
            </w: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,8</w:t>
            </w:r>
          </w:p>
        </w:tc>
      </w:tr>
      <w:tr w14:paraId="2BC50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37" w:type="dxa"/>
          </w:tcPr>
          <w:p w14:paraId="6BCDF184">
            <w:pPr>
              <w:pStyle w:val="15"/>
              <w:ind w:firstLine="0"/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Объем отгруженных товаров собственного производства по крупным и средним предприятиям сельского хозяйства, млн. руб.</w:t>
            </w:r>
          </w:p>
        </w:tc>
        <w:tc>
          <w:tcPr>
            <w:tcW w:w="1701" w:type="dxa"/>
          </w:tcPr>
          <w:p w14:paraId="6C882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3</w:t>
            </w: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  <w:t>90,0</w:t>
            </w:r>
          </w:p>
        </w:tc>
        <w:tc>
          <w:tcPr>
            <w:tcW w:w="1984" w:type="dxa"/>
          </w:tcPr>
          <w:p w14:paraId="2EE92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  <w:t>44,2</w:t>
            </w:r>
          </w:p>
        </w:tc>
      </w:tr>
      <w:tr w14:paraId="0B8F7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37" w:type="dxa"/>
          </w:tcPr>
          <w:p w14:paraId="5FBD423B">
            <w:pPr>
              <w:pStyle w:val="15"/>
              <w:ind w:firstLine="0"/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Индекс физического объема производства продукции сельского хозяйства, % к предыдущему году</w:t>
            </w:r>
          </w:p>
        </w:tc>
        <w:tc>
          <w:tcPr>
            <w:tcW w:w="1701" w:type="dxa"/>
          </w:tcPr>
          <w:p w14:paraId="301E5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-</w:t>
            </w:r>
          </w:p>
        </w:tc>
        <w:tc>
          <w:tcPr>
            <w:tcW w:w="1984" w:type="dxa"/>
          </w:tcPr>
          <w:p w14:paraId="7E6BC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  <w:t>-</w:t>
            </w:r>
          </w:p>
        </w:tc>
      </w:tr>
      <w:tr w14:paraId="3893F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37" w:type="dxa"/>
          </w:tcPr>
          <w:p w14:paraId="416F5DAC">
            <w:pPr>
              <w:pStyle w:val="1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kern w:val="32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kern w:val="32"/>
                <w:sz w:val="20"/>
                <w:szCs w:val="20"/>
                <w:highlight w:val="none"/>
              </w:rPr>
              <w:t>Объем отгруженных товаров (работ, услуг) по малым и микропредприятиям, млн.руб.</w:t>
            </w:r>
          </w:p>
        </w:tc>
        <w:tc>
          <w:tcPr>
            <w:tcW w:w="1701" w:type="dxa"/>
          </w:tcPr>
          <w:p w14:paraId="04D26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1</w:t>
            </w: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  <w:t>5 652,5</w:t>
            </w:r>
          </w:p>
        </w:tc>
        <w:tc>
          <w:tcPr>
            <w:tcW w:w="1984" w:type="dxa"/>
          </w:tcPr>
          <w:p w14:paraId="4C0CD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  <w:t>21 345,1</w:t>
            </w:r>
          </w:p>
        </w:tc>
      </w:tr>
      <w:tr w14:paraId="43176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37" w:type="dxa"/>
          </w:tcPr>
          <w:p w14:paraId="6C7F066E">
            <w:pPr>
              <w:pStyle w:val="1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kern w:val="32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kern w:val="32"/>
                <w:sz w:val="20"/>
                <w:szCs w:val="20"/>
                <w:highlight w:val="none"/>
              </w:rPr>
              <w:t>Объем отгруженных товаров (работ, услуг) по средним предприятиям, млн.руб.</w:t>
            </w:r>
          </w:p>
        </w:tc>
        <w:tc>
          <w:tcPr>
            <w:tcW w:w="1701" w:type="dxa"/>
          </w:tcPr>
          <w:p w14:paraId="3505F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  <w:t>5 826,0</w:t>
            </w:r>
          </w:p>
        </w:tc>
        <w:tc>
          <w:tcPr>
            <w:tcW w:w="1984" w:type="dxa"/>
          </w:tcPr>
          <w:p w14:paraId="075748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  <w:t>3 121,0</w:t>
            </w:r>
          </w:p>
        </w:tc>
      </w:tr>
      <w:tr w14:paraId="6A43A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37" w:type="dxa"/>
          </w:tcPr>
          <w:p w14:paraId="6D1CF7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 xml:space="preserve">Инвестиции в основной капитал, млн.руб. </w:t>
            </w:r>
          </w:p>
          <w:p w14:paraId="6BE3A9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</w:tcPr>
          <w:p w14:paraId="684AB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  <w:t>4 157,8</w:t>
            </w:r>
          </w:p>
        </w:tc>
        <w:tc>
          <w:tcPr>
            <w:tcW w:w="1984" w:type="dxa"/>
          </w:tcPr>
          <w:p w14:paraId="1B430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5 7</w:t>
            </w: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  <w:t>50,9</w:t>
            </w:r>
          </w:p>
        </w:tc>
      </w:tr>
      <w:tr w14:paraId="16951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37" w:type="dxa"/>
          </w:tcPr>
          <w:p w14:paraId="303561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Индекс физического объема инвестиций в основной капитал, % к предыдущему году</w:t>
            </w:r>
          </w:p>
        </w:tc>
        <w:tc>
          <w:tcPr>
            <w:tcW w:w="1701" w:type="dxa"/>
          </w:tcPr>
          <w:p w14:paraId="3F02C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1</w:t>
            </w: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  <w:t>14,8</w:t>
            </w:r>
          </w:p>
        </w:tc>
        <w:tc>
          <w:tcPr>
            <w:tcW w:w="1984" w:type="dxa"/>
          </w:tcPr>
          <w:p w14:paraId="43AE5B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  <w:t>91,6</w:t>
            </w:r>
          </w:p>
        </w:tc>
      </w:tr>
      <w:tr w14:paraId="5BF43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37" w:type="dxa"/>
            <w:tcBorders>
              <w:bottom w:val="single" w:color="auto" w:sz="6" w:space="0"/>
            </w:tcBorders>
          </w:tcPr>
          <w:p w14:paraId="6F5AF01D">
            <w:pPr>
              <w:pStyle w:val="1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Оборот розничной торговли, млн. руб.</w:t>
            </w:r>
          </w:p>
          <w:p w14:paraId="5EBD0942">
            <w:pPr>
              <w:pStyle w:val="1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</w:tcPr>
          <w:p w14:paraId="30D28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  <w:t>10 344,5</w:t>
            </w:r>
          </w:p>
        </w:tc>
        <w:tc>
          <w:tcPr>
            <w:tcW w:w="1984" w:type="dxa"/>
          </w:tcPr>
          <w:p w14:paraId="03AE6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1</w:t>
            </w: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  <w:t>2 868,0</w:t>
            </w:r>
          </w:p>
        </w:tc>
      </w:tr>
      <w:tr w14:paraId="37077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37" w:type="dxa"/>
          </w:tcPr>
          <w:p w14:paraId="261D8A87">
            <w:pPr>
              <w:pStyle w:val="1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</w:rPr>
              <w:t>ИФО оборота розничной торговли, % к предыдущему году</w:t>
            </w:r>
          </w:p>
          <w:p w14:paraId="7E1B163B">
            <w:pPr>
              <w:pStyle w:val="1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</w:tcPr>
          <w:p w14:paraId="3107B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10</w:t>
            </w: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  <w:t>5,0</w:t>
            </w:r>
          </w:p>
        </w:tc>
        <w:tc>
          <w:tcPr>
            <w:tcW w:w="1984" w:type="dxa"/>
          </w:tcPr>
          <w:p w14:paraId="7CC58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10</w:t>
            </w: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  <w:t>2,1</w:t>
            </w:r>
          </w:p>
        </w:tc>
      </w:tr>
      <w:tr w14:paraId="6E636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37" w:type="dxa"/>
            <w:vAlign w:val="center"/>
          </w:tcPr>
          <w:p w14:paraId="6811F2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Прибыль прибыльных организаций по полному кругу  организаций, млн. руб.</w:t>
            </w:r>
          </w:p>
        </w:tc>
        <w:tc>
          <w:tcPr>
            <w:tcW w:w="1701" w:type="dxa"/>
          </w:tcPr>
          <w:p w14:paraId="58DD6F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2 </w:t>
            </w: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  <w:t>330,6</w:t>
            </w:r>
          </w:p>
        </w:tc>
        <w:tc>
          <w:tcPr>
            <w:tcW w:w="1984" w:type="dxa"/>
          </w:tcPr>
          <w:p w14:paraId="464C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2 </w:t>
            </w: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  <w:t>893,1</w:t>
            </w:r>
          </w:p>
        </w:tc>
      </w:tr>
      <w:tr w14:paraId="27819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37" w:type="dxa"/>
            <w:tcBorders>
              <w:bottom w:val="single" w:color="auto" w:sz="6" w:space="0"/>
            </w:tcBorders>
          </w:tcPr>
          <w:p w14:paraId="1230ECCD">
            <w:pPr>
              <w:pStyle w:val="15"/>
              <w:ind w:firstLine="0"/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Фонд начисленной заработной платы всех работников, млн. руб.</w:t>
            </w:r>
          </w:p>
        </w:tc>
        <w:tc>
          <w:tcPr>
            <w:tcW w:w="1701" w:type="dxa"/>
          </w:tcPr>
          <w:p w14:paraId="555D5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  <w:t>9 005,6</w:t>
            </w:r>
          </w:p>
        </w:tc>
        <w:tc>
          <w:tcPr>
            <w:tcW w:w="1984" w:type="dxa"/>
          </w:tcPr>
          <w:p w14:paraId="2E449C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  <w:t>9 076,9</w:t>
            </w:r>
          </w:p>
        </w:tc>
      </w:tr>
      <w:tr w14:paraId="50ED8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37" w:type="dxa"/>
            <w:tcBorders>
              <w:bottom w:val="single" w:color="auto" w:sz="6" w:space="0"/>
            </w:tcBorders>
          </w:tcPr>
          <w:p w14:paraId="47811890">
            <w:pPr>
              <w:pStyle w:val="15"/>
              <w:ind w:firstLine="0"/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Среднемесячная номинальная начисленная заработная плата в целом по округу, руб.</w:t>
            </w:r>
          </w:p>
        </w:tc>
        <w:tc>
          <w:tcPr>
            <w:tcW w:w="1701" w:type="dxa"/>
          </w:tcPr>
          <w:p w14:paraId="74F147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  <w:t>53 755,0</w:t>
            </w:r>
          </w:p>
        </w:tc>
        <w:tc>
          <w:tcPr>
            <w:tcW w:w="1984" w:type="dxa"/>
          </w:tcPr>
          <w:p w14:paraId="3A14C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  <w:t>54 377,0</w:t>
            </w:r>
          </w:p>
        </w:tc>
      </w:tr>
      <w:tr w14:paraId="3E3AF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37" w:type="dxa"/>
            <w:tcBorders>
              <w:bottom w:val="single" w:color="auto" w:sz="6" w:space="0"/>
            </w:tcBorders>
          </w:tcPr>
          <w:p w14:paraId="79643541">
            <w:pPr>
              <w:pStyle w:val="15"/>
              <w:ind w:firstLine="0"/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Темп роста реальной заработной платы, %</w:t>
            </w:r>
          </w:p>
          <w:p w14:paraId="709F8243">
            <w:pPr>
              <w:pStyle w:val="15"/>
              <w:ind w:firstLine="0"/>
              <w:jc w:val="both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701" w:type="dxa"/>
          </w:tcPr>
          <w:p w14:paraId="4D793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10</w:t>
            </w: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  <w:t>8</w:t>
            </w:r>
          </w:p>
        </w:tc>
        <w:tc>
          <w:tcPr>
            <w:tcW w:w="1984" w:type="dxa"/>
          </w:tcPr>
          <w:p w14:paraId="7FF8B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115,0</w:t>
            </w:r>
          </w:p>
        </w:tc>
      </w:tr>
      <w:tr w14:paraId="1B52E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37" w:type="dxa"/>
            <w:tcBorders>
              <w:bottom w:val="single" w:color="auto" w:sz="6" w:space="0"/>
            </w:tcBorders>
          </w:tcPr>
          <w:p w14:paraId="51460F52">
            <w:pPr>
              <w:pStyle w:val="15"/>
              <w:ind w:firstLine="0"/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Уровень зарегистрированной безработицы (на конец года), %</w:t>
            </w:r>
          </w:p>
          <w:p w14:paraId="7A25ADF2">
            <w:pPr>
              <w:pStyle w:val="15"/>
              <w:ind w:firstLine="0"/>
              <w:jc w:val="both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701" w:type="dxa"/>
          </w:tcPr>
          <w:p w14:paraId="0687B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0,</w:t>
            </w:r>
            <w:r>
              <w:rPr>
                <w:rFonts w:hint="default" w:ascii="Times New Roman" w:hAnsi="Times New Roman"/>
                <w:sz w:val="20"/>
                <w:szCs w:val="20"/>
                <w:highlight w:val="none"/>
                <w:lang w:val="ru-RU"/>
              </w:rPr>
              <w:t>2</w:t>
            </w:r>
          </w:p>
        </w:tc>
        <w:tc>
          <w:tcPr>
            <w:tcW w:w="1984" w:type="dxa"/>
          </w:tcPr>
          <w:p w14:paraId="7197F6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/>
                <w:sz w:val="20"/>
                <w:szCs w:val="20"/>
                <w:highlight w:val="none"/>
              </w:rPr>
              <w:t>-</w:t>
            </w:r>
          </w:p>
        </w:tc>
      </w:tr>
    </w:tbl>
    <w:p w14:paraId="2693857C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63C7A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 Формирование плановых значений основных параметров бюджета</w:t>
      </w:r>
    </w:p>
    <w:p w14:paraId="48DB0214">
      <w:pPr>
        <w:pStyle w:val="2"/>
        <w:shd w:val="clear" w:color="auto" w:fill="FFFFFF"/>
        <w:spacing w:beforeAutospacing="0" w:afterAutospacing="0" w:line="210" w:lineRule="atLeast"/>
        <w:jc w:val="both"/>
        <w:rPr>
          <w:rFonts w:hint="default" w:ascii="Times New Roman" w:hAnsi="Times New Roman"/>
          <w:b w:val="0"/>
          <w:bCs w:val="0"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/>
          <w:b w:val="0"/>
          <w:bCs w:val="0"/>
          <w:color w:val="000000"/>
          <w:sz w:val="28"/>
          <w:szCs w:val="28"/>
          <w:lang w:val="ru-RU"/>
        </w:rPr>
        <w:tab/>
      </w:r>
      <w:r>
        <w:rPr>
          <w:rFonts w:hint="default" w:ascii="Times New Roman" w:hAnsi="Times New Roman"/>
          <w:b w:val="0"/>
          <w:bCs w:val="0"/>
          <w:color w:val="000000"/>
          <w:sz w:val="28"/>
          <w:szCs w:val="28"/>
          <w:lang w:val="ru-RU"/>
        </w:rPr>
        <w:t xml:space="preserve">В </w:t>
      </w:r>
      <w:r>
        <w:rPr>
          <w:rFonts w:hint="default" w:ascii="Times New Roman" w:hAnsi="Times New Roman" w:eastAsia="sans-serif"/>
          <w:b w:val="0"/>
          <w:bCs w:val="0"/>
          <w:color w:val="050624"/>
          <w:sz w:val="28"/>
          <w:szCs w:val="28"/>
          <w:shd w:val="clear" w:color="auto" w:fill="FFFFFF"/>
          <w:lang w:val="ru-RU"/>
        </w:rPr>
        <w:t xml:space="preserve">решение Совета депутатов Богородского муниципального округа Нижегородской области от 12.12.2024 № 117 «О бюджете Богородского муниципального округа Нижегородской области на 2025 год и на плановый период 2026 и 2027 годов» </w:t>
      </w:r>
      <w:r>
        <w:rPr>
          <w:rFonts w:hint="default" w:ascii="Times New Roman" w:hAnsi="Times New Roman"/>
          <w:b w:val="0"/>
          <w:bCs w:val="0"/>
          <w:color w:val="000000"/>
          <w:sz w:val="28"/>
          <w:szCs w:val="28"/>
          <w:lang w:val="ru-RU"/>
        </w:rPr>
        <w:t>(далее – Решение о бюджете) 12 раз вносились изменения, и в соответствии со ст.217 БК РФ, производились изменения в бюджетную роспись.</w:t>
      </w:r>
    </w:p>
    <w:p w14:paraId="1B1E1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плановых назначений основных параметров бюджета отражено в таблице № 2.</w:t>
      </w:r>
    </w:p>
    <w:p w14:paraId="4545F35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22D0F1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51F67B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666028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</w:p>
    <w:p w14:paraId="2CCF47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Таблица № 2</w:t>
      </w:r>
    </w:p>
    <w:p w14:paraId="48831D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(тыс. рублей)</w:t>
      </w:r>
    </w:p>
    <w:tbl>
      <w:tblPr>
        <w:tblStyle w:val="10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1842"/>
        <w:gridCol w:w="1843"/>
        <w:gridCol w:w="1950"/>
      </w:tblGrid>
      <w:tr w14:paraId="26ACF0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422EB8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0F7F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Доходы</w:t>
            </w:r>
          </w:p>
          <w:p w14:paraId="72AA9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1235F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</w:t>
            </w:r>
          </w:p>
          <w:p w14:paraId="24B5E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0" w:type="dxa"/>
          </w:tcPr>
          <w:p w14:paraId="6CB41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Профицит (+), Дефицит (-)</w:t>
            </w:r>
          </w:p>
        </w:tc>
      </w:tr>
      <w:tr w14:paraId="0DCAEE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5264211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,Bold" w:cs="Times New Roman"/>
                <w:bCs/>
                <w:color w:val="000000"/>
                <w:sz w:val="20"/>
                <w:szCs w:val="20"/>
              </w:rPr>
              <w:t xml:space="preserve">Решение о бюджете от </w:t>
            </w:r>
            <w:r>
              <w:rPr>
                <w:rFonts w:hint="default" w:ascii="Times New Roman" w:hAnsi="Times New Roman" w:eastAsia="Times New Roman,Bold" w:cs="Times New Roman"/>
                <w:bCs/>
                <w:color w:val="000000"/>
                <w:sz w:val="20"/>
                <w:szCs w:val="20"/>
                <w:lang w:val="ru-RU"/>
              </w:rPr>
              <w:t>12</w:t>
            </w:r>
            <w:r>
              <w:rPr>
                <w:rFonts w:ascii="Times New Roman" w:hAnsi="Times New Roman" w:eastAsia="sans-serif" w:cs="Times New Roman"/>
                <w:color w:val="050624"/>
                <w:sz w:val="20"/>
                <w:szCs w:val="20"/>
                <w:shd w:val="clear" w:color="auto" w:fill="FFFFFF"/>
              </w:rPr>
              <w:t>.12.202</w:t>
            </w:r>
            <w:r>
              <w:rPr>
                <w:rFonts w:hint="default" w:ascii="Times New Roman" w:hAnsi="Times New Roman" w:eastAsia="sans-serif" w:cs="Times New Roman"/>
                <w:color w:val="050624"/>
                <w:sz w:val="20"/>
                <w:szCs w:val="20"/>
                <w:shd w:val="clear" w:color="auto" w:fill="FFFFFF"/>
                <w:lang w:val="ru-RU"/>
              </w:rPr>
              <w:t>4</w:t>
            </w:r>
            <w:r>
              <w:rPr>
                <w:rFonts w:ascii="Times New Roman" w:hAnsi="Times New Roman" w:eastAsia="sans-serif" w:cs="Times New Roman"/>
                <w:color w:val="050624"/>
                <w:sz w:val="20"/>
                <w:szCs w:val="20"/>
                <w:shd w:val="clear" w:color="auto" w:fill="FFFFFF"/>
              </w:rPr>
              <w:t xml:space="preserve"> № 1</w:t>
            </w:r>
            <w:r>
              <w:rPr>
                <w:rFonts w:hint="default" w:ascii="Times New Roman" w:hAnsi="Times New Roman" w:eastAsia="sans-serif" w:cs="Times New Roman"/>
                <w:color w:val="050624"/>
                <w:sz w:val="20"/>
                <w:szCs w:val="20"/>
                <w:shd w:val="clear" w:color="auto" w:fill="FFFFFF"/>
                <w:lang w:val="ru-RU"/>
              </w:rPr>
              <w:t>17</w:t>
            </w:r>
          </w:p>
        </w:tc>
        <w:tc>
          <w:tcPr>
            <w:tcW w:w="1842" w:type="dxa"/>
          </w:tcPr>
          <w:p w14:paraId="22BFE1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3 456 927,70</w:t>
            </w:r>
          </w:p>
        </w:tc>
        <w:tc>
          <w:tcPr>
            <w:tcW w:w="1843" w:type="dxa"/>
          </w:tcPr>
          <w:p w14:paraId="25CAB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3 456 927,70</w:t>
            </w:r>
          </w:p>
        </w:tc>
        <w:tc>
          <w:tcPr>
            <w:tcW w:w="1950" w:type="dxa"/>
          </w:tcPr>
          <w:p w14:paraId="504A2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</w:tr>
      <w:tr w14:paraId="1E39C0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54AE14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Изменения, внесенные в Решение о бюджете в течение отчетного года</w:t>
            </w:r>
          </w:p>
        </w:tc>
        <w:tc>
          <w:tcPr>
            <w:tcW w:w="1842" w:type="dxa"/>
          </w:tcPr>
          <w:p w14:paraId="4A830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831 976,19</w:t>
            </w:r>
          </w:p>
        </w:tc>
        <w:tc>
          <w:tcPr>
            <w:tcW w:w="1843" w:type="dxa"/>
          </w:tcPr>
          <w:p w14:paraId="13EAA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69 793,75</w:t>
            </w:r>
          </w:p>
        </w:tc>
        <w:tc>
          <w:tcPr>
            <w:tcW w:w="1950" w:type="dxa"/>
          </w:tcPr>
          <w:p w14:paraId="6C02E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137 817,56</w:t>
            </w:r>
          </w:p>
        </w:tc>
      </w:tr>
      <w:tr w14:paraId="75FA89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0DCB22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color w:val="000000"/>
                <w:sz w:val="20"/>
                <w:szCs w:val="20"/>
              </w:rPr>
              <w:t>Решение о бюджете с учетом всех изменений</w:t>
            </w:r>
          </w:p>
        </w:tc>
        <w:tc>
          <w:tcPr>
            <w:tcW w:w="1842" w:type="dxa"/>
            <w:vAlign w:val="top"/>
          </w:tcPr>
          <w:p w14:paraId="188AC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4 288 903,89</w:t>
            </w:r>
          </w:p>
        </w:tc>
        <w:tc>
          <w:tcPr>
            <w:tcW w:w="1843" w:type="dxa"/>
            <w:vAlign w:val="top"/>
          </w:tcPr>
          <w:p w14:paraId="6D662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4 426 721,45</w:t>
            </w:r>
          </w:p>
        </w:tc>
        <w:tc>
          <w:tcPr>
            <w:tcW w:w="1950" w:type="dxa"/>
            <w:vAlign w:val="top"/>
          </w:tcPr>
          <w:p w14:paraId="2094D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- 1</w:t>
            </w:r>
            <w:r>
              <w:rPr>
                <w:rFonts w:hint="default"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37 817,56</w:t>
            </w:r>
          </w:p>
        </w:tc>
      </w:tr>
      <w:tr w14:paraId="5E5CB8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06E48D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color w:val="000000"/>
                <w:sz w:val="20"/>
                <w:szCs w:val="20"/>
              </w:rPr>
              <w:t>Уточнение плановых назначений на основании внесения изменений в бюджетную роспись</w:t>
            </w:r>
          </w:p>
        </w:tc>
        <w:tc>
          <w:tcPr>
            <w:tcW w:w="1842" w:type="dxa"/>
          </w:tcPr>
          <w:p w14:paraId="6E60A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none"/>
              </w:rPr>
              <w:t>-</w:t>
            </w:r>
            <w:r>
              <w:rPr>
                <w:rFonts w:hint="default" w:ascii="Times New Roman" w:hAnsi="Times New Roman" w:cs="Times New Roman"/>
                <w:bCs/>
                <w:color w:val="000000"/>
                <w:sz w:val="20"/>
                <w:szCs w:val="20"/>
                <w:highlight w:val="none"/>
                <w:lang w:val="ru-RU"/>
              </w:rPr>
              <w:t>11 977,15</w:t>
            </w:r>
          </w:p>
        </w:tc>
        <w:tc>
          <w:tcPr>
            <w:tcW w:w="1843" w:type="dxa"/>
          </w:tcPr>
          <w:p w14:paraId="6B141A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0"/>
                <w:szCs w:val="20"/>
                <w:highlight w:val="none"/>
                <w:lang w:val="ru-RU"/>
              </w:rPr>
              <w:t>- 11 977,15</w:t>
            </w:r>
          </w:p>
        </w:tc>
        <w:tc>
          <w:tcPr>
            <w:tcW w:w="1950" w:type="dxa"/>
          </w:tcPr>
          <w:p w14:paraId="7E4CF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none"/>
              </w:rPr>
              <w:t>-</w:t>
            </w:r>
          </w:p>
        </w:tc>
      </w:tr>
      <w:tr w14:paraId="1D24C9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47DF64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color w:val="000000"/>
                <w:sz w:val="20"/>
                <w:szCs w:val="20"/>
              </w:rPr>
              <w:t>Уточненные плановые назначения</w:t>
            </w:r>
          </w:p>
        </w:tc>
        <w:tc>
          <w:tcPr>
            <w:tcW w:w="1842" w:type="dxa"/>
          </w:tcPr>
          <w:p w14:paraId="68704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0"/>
                <w:szCs w:val="20"/>
                <w:highlight w:val="none"/>
                <w:lang w:val="ru-RU"/>
              </w:rPr>
              <w:t>4 276 926,74</w:t>
            </w:r>
          </w:p>
        </w:tc>
        <w:tc>
          <w:tcPr>
            <w:tcW w:w="1843" w:type="dxa"/>
          </w:tcPr>
          <w:p w14:paraId="35ADB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0"/>
                <w:szCs w:val="20"/>
                <w:highlight w:val="none"/>
                <w:lang w:val="ru-RU"/>
              </w:rPr>
              <w:t>4 414 744,30</w:t>
            </w:r>
          </w:p>
        </w:tc>
        <w:tc>
          <w:tcPr>
            <w:tcW w:w="1950" w:type="dxa"/>
          </w:tcPr>
          <w:p w14:paraId="457AD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none"/>
              </w:rPr>
              <w:t>- 1</w:t>
            </w:r>
            <w:r>
              <w:rPr>
                <w:rFonts w:hint="default" w:ascii="Times New Roman" w:hAnsi="Times New Roman" w:cs="Times New Roman"/>
                <w:bCs/>
                <w:color w:val="000000"/>
                <w:sz w:val="20"/>
                <w:szCs w:val="20"/>
                <w:highlight w:val="none"/>
                <w:lang w:val="ru-RU"/>
              </w:rPr>
              <w:t>37 817,56</w:t>
            </w:r>
          </w:p>
        </w:tc>
      </w:tr>
    </w:tbl>
    <w:p w14:paraId="2133BC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7"/>
          <w:szCs w:val="27"/>
        </w:rPr>
      </w:pPr>
    </w:p>
    <w:p w14:paraId="145EA275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eastAsia="Times New Roman,Bold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/>
          <w:bCs/>
          <w:color w:val="000000"/>
          <w:sz w:val="28"/>
          <w:szCs w:val="28"/>
        </w:rPr>
        <w:t>3. Исполнение бюджета</w:t>
      </w:r>
    </w:p>
    <w:p w14:paraId="707F17DB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eastAsia="Times New Roman,Bold" w:cs="Times New Roman"/>
          <w:b/>
          <w:bCs/>
          <w:color w:val="000000"/>
          <w:sz w:val="28"/>
          <w:szCs w:val="28"/>
        </w:rPr>
      </w:pPr>
    </w:p>
    <w:p w14:paraId="49B3E6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Анализ исполнения бюджета округа представлен в таблице № 3.</w:t>
      </w:r>
    </w:p>
    <w:p w14:paraId="3A99DF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Таблица № 3</w:t>
      </w:r>
    </w:p>
    <w:p w14:paraId="2075F5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(тыс. рублей)</w:t>
      </w:r>
    </w:p>
    <w:tbl>
      <w:tblPr>
        <w:tblStyle w:val="10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5"/>
        <w:gridCol w:w="1595"/>
        <w:gridCol w:w="1595"/>
        <w:gridCol w:w="1595"/>
        <w:gridCol w:w="1595"/>
        <w:gridCol w:w="1596"/>
      </w:tblGrid>
      <w:tr w14:paraId="11DE73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5" w:type="dxa"/>
            <w:vMerge w:val="restart"/>
          </w:tcPr>
          <w:p w14:paraId="7FBCA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vMerge w:val="restart"/>
          </w:tcPr>
          <w:p w14:paraId="0B9AC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Утверждено на 202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 (с учетом изменений)</w:t>
            </w:r>
          </w:p>
          <w:p w14:paraId="61C3A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90" w:type="dxa"/>
            <w:gridSpan w:val="2"/>
          </w:tcPr>
          <w:p w14:paraId="6C11F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Исполнение за 202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3AACB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91" w:type="dxa"/>
            <w:gridSpan w:val="2"/>
          </w:tcPr>
          <w:p w14:paraId="321BB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Исполнение к 202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году</w:t>
            </w:r>
          </w:p>
          <w:p w14:paraId="0C876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12AEC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5" w:type="dxa"/>
            <w:vMerge w:val="continue"/>
          </w:tcPr>
          <w:p w14:paraId="54D37D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vMerge w:val="continue"/>
          </w:tcPr>
          <w:p w14:paraId="7603B6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14:paraId="0CEE2A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Кассовое исполнение</w:t>
            </w:r>
          </w:p>
          <w:p w14:paraId="4347F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14:paraId="1547C6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 от уточненного годового плана на 202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595" w:type="dxa"/>
          </w:tcPr>
          <w:p w14:paraId="5CE013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</w:t>
            </w:r>
          </w:p>
          <w:p w14:paraId="6459E6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</w:tcPr>
          <w:p w14:paraId="743DA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 к кассовому исполнению за 202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2FDFE5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EE9DD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5" w:type="dxa"/>
          </w:tcPr>
          <w:p w14:paraId="23DF0E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Доходы</w:t>
            </w:r>
          </w:p>
          <w:p w14:paraId="0ABE6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14:paraId="3BE9E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4 276 926,74</w:t>
            </w:r>
          </w:p>
        </w:tc>
        <w:tc>
          <w:tcPr>
            <w:tcW w:w="1595" w:type="dxa"/>
          </w:tcPr>
          <w:p w14:paraId="52FA7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none"/>
                <w:lang w:val="ru-RU"/>
              </w:rPr>
              <w:t>4 325 078,50</w:t>
            </w:r>
          </w:p>
        </w:tc>
        <w:tc>
          <w:tcPr>
            <w:tcW w:w="1595" w:type="dxa"/>
          </w:tcPr>
          <w:p w14:paraId="52E807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</w:rPr>
              <w:t>10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none"/>
                <w:lang w:val="ru-RU"/>
              </w:rPr>
              <w:t>1,1</w:t>
            </w:r>
          </w:p>
        </w:tc>
        <w:tc>
          <w:tcPr>
            <w:tcW w:w="1595" w:type="dxa"/>
          </w:tcPr>
          <w:p w14:paraId="44448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</w:rPr>
              <w:t xml:space="preserve"> + 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none"/>
                <w:lang w:val="ru-RU"/>
              </w:rPr>
              <w:t>732 257,75</w:t>
            </w:r>
          </w:p>
        </w:tc>
        <w:tc>
          <w:tcPr>
            <w:tcW w:w="1596" w:type="dxa"/>
          </w:tcPr>
          <w:p w14:paraId="31C20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</w:rPr>
              <w:t>+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none"/>
                <w:lang w:val="ru-RU"/>
              </w:rPr>
              <w:t>20,4</w:t>
            </w:r>
          </w:p>
        </w:tc>
      </w:tr>
      <w:tr w14:paraId="12FC38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5" w:type="dxa"/>
          </w:tcPr>
          <w:p w14:paraId="09DC07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</w:t>
            </w:r>
          </w:p>
          <w:p w14:paraId="4FD72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</w:tcPr>
          <w:p w14:paraId="07361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4 414 744,30</w:t>
            </w:r>
          </w:p>
        </w:tc>
        <w:tc>
          <w:tcPr>
            <w:tcW w:w="1595" w:type="dxa"/>
          </w:tcPr>
          <w:p w14:paraId="64F971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none"/>
                <w:lang w:val="ru-RU"/>
              </w:rPr>
              <w:t>4 327 605,47</w:t>
            </w:r>
          </w:p>
        </w:tc>
        <w:tc>
          <w:tcPr>
            <w:tcW w:w="1595" w:type="dxa"/>
          </w:tcPr>
          <w:p w14:paraId="11379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none"/>
                <w:lang w:val="ru-RU"/>
              </w:rPr>
              <w:t>8,0</w:t>
            </w:r>
          </w:p>
        </w:tc>
        <w:tc>
          <w:tcPr>
            <w:tcW w:w="1595" w:type="dxa"/>
          </w:tcPr>
          <w:p w14:paraId="7A27C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</w:rPr>
              <w:t xml:space="preserve">+ 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none"/>
                <w:lang w:val="ru-RU"/>
              </w:rPr>
              <w:t>855 052,48</w:t>
            </w:r>
          </w:p>
        </w:tc>
        <w:tc>
          <w:tcPr>
            <w:tcW w:w="1596" w:type="dxa"/>
          </w:tcPr>
          <w:p w14:paraId="50BD1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</w:rPr>
              <w:t>+10,0</w:t>
            </w:r>
          </w:p>
        </w:tc>
      </w:tr>
      <w:tr w14:paraId="75B8F6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5" w:type="dxa"/>
          </w:tcPr>
          <w:p w14:paraId="447871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Профицит (+), Дефицит (-)</w:t>
            </w:r>
          </w:p>
        </w:tc>
        <w:tc>
          <w:tcPr>
            <w:tcW w:w="1595" w:type="dxa"/>
          </w:tcPr>
          <w:p w14:paraId="605586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none"/>
              </w:rPr>
              <w:t>1</w:t>
            </w:r>
            <w:r>
              <w:rPr>
                <w:rFonts w:hint="default" w:ascii="Times New Roman" w:hAnsi="Times New Roman" w:cs="Times New Roman"/>
                <w:bCs/>
                <w:color w:val="000000"/>
                <w:sz w:val="20"/>
                <w:szCs w:val="20"/>
                <w:highlight w:val="none"/>
                <w:lang w:val="ru-RU"/>
              </w:rPr>
              <w:t>37 817,56</w:t>
            </w:r>
          </w:p>
        </w:tc>
        <w:tc>
          <w:tcPr>
            <w:tcW w:w="1595" w:type="dxa"/>
          </w:tcPr>
          <w:p w14:paraId="5AD91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none"/>
                <w:lang w:val="ru-RU"/>
              </w:rPr>
              <w:t>-2 526,97</w:t>
            </w:r>
          </w:p>
        </w:tc>
        <w:tc>
          <w:tcPr>
            <w:tcW w:w="1595" w:type="dxa"/>
          </w:tcPr>
          <w:p w14:paraId="671CA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</w:rPr>
              <w:t>Х</w:t>
            </w:r>
          </w:p>
          <w:p w14:paraId="3C4F5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595" w:type="dxa"/>
          </w:tcPr>
          <w:p w14:paraId="277CE8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none"/>
                <w:lang w:val="ru-RU"/>
              </w:rPr>
              <w:t>122 794,73</w:t>
            </w:r>
          </w:p>
        </w:tc>
        <w:tc>
          <w:tcPr>
            <w:tcW w:w="1596" w:type="dxa"/>
          </w:tcPr>
          <w:p w14:paraId="218C4C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</w:rPr>
              <w:t>Х</w:t>
            </w:r>
          </w:p>
          <w:p w14:paraId="242377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none"/>
              </w:rPr>
            </w:pPr>
          </w:p>
        </w:tc>
      </w:tr>
    </w:tbl>
    <w:p w14:paraId="3AEA6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14:paraId="4DF011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,Bold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>
        <w:rPr>
          <w:rFonts w:ascii="Times New Roman" w:hAnsi="Times New Roman" w:eastAsia="Times New Roman,Bold" w:cs="Times New Roman"/>
          <w:b/>
          <w:bCs/>
          <w:color w:val="000000"/>
          <w:sz w:val="28"/>
          <w:szCs w:val="28"/>
        </w:rPr>
        <w:t>Дефицит (профицит) бюджета</w:t>
      </w:r>
    </w:p>
    <w:p w14:paraId="36D1A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Дефицит бюджета округа по уточненному плану составил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>
        <w:rPr>
          <w:rFonts w:hint="default" w:ascii="Times New Roman" w:hAnsi="Times New Roman" w:cs="Times New Roman"/>
          <w:bCs/>
          <w:color w:val="000000"/>
          <w:sz w:val="28"/>
          <w:szCs w:val="28"/>
          <w:lang w:val="ru-RU"/>
        </w:rPr>
        <w:t>37 817,56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тыс. рублей и не превышал ограничений, установленных статьей 92.1 Бюджетного кодекса РФ.</w:t>
      </w:r>
    </w:p>
    <w:p w14:paraId="18729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На 1 января 202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 бюджет исполнен с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фицитом в сумме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2 526,97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рублей.</w:t>
      </w:r>
    </w:p>
    <w:p w14:paraId="0F70BE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,Bold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/>
          <w:bCs/>
          <w:color w:val="000000"/>
          <w:sz w:val="28"/>
          <w:szCs w:val="28"/>
        </w:rPr>
        <w:t>5.Доходы</w:t>
      </w:r>
    </w:p>
    <w:p w14:paraId="496FE3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В отчетном году первоначальный план по доходам бюджета округа (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3 456 927,70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рублей) уточнялся за счет налоговых и неналоговых доходов (+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1 341,58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рублей) и за счет дополнительного объема безвозмездных поступлений (+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818 657,45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тыс. рублей).</w:t>
      </w:r>
    </w:p>
    <w:p w14:paraId="60D0B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Анализ исполнения доходов 202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 по сравнению с исполнением доходов в 202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 приведен в таблице.</w:t>
      </w:r>
    </w:p>
    <w:p w14:paraId="33FAD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E716F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Таблица № 4</w:t>
      </w:r>
    </w:p>
    <w:tbl>
      <w:tblPr>
        <w:tblStyle w:val="10"/>
        <w:tblW w:w="0" w:type="auto"/>
        <w:tblInd w:w="132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2"/>
        <w:gridCol w:w="1914"/>
        <w:gridCol w:w="1914"/>
        <w:gridCol w:w="1914"/>
        <w:gridCol w:w="1817"/>
      </w:tblGrid>
      <w:tr w14:paraId="387A5D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2" w:type="dxa"/>
            <w:vMerge w:val="restart"/>
          </w:tcPr>
          <w:p w14:paraId="02630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 доходов</w:t>
            </w:r>
          </w:p>
        </w:tc>
        <w:tc>
          <w:tcPr>
            <w:tcW w:w="1914" w:type="dxa"/>
            <w:vMerge w:val="restart"/>
          </w:tcPr>
          <w:p w14:paraId="4F89D5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  <w:p w14:paraId="28B45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(тыс. рублей)</w:t>
            </w:r>
          </w:p>
        </w:tc>
        <w:tc>
          <w:tcPr>
            <w:tcW w:w="1914" w:type="dxa"/>
            <w:vMerge w:val="restart"/>
            <w:vAlign w:val="top"/>
          </w:tcPr>
          <w:p w14:paraId="71D63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  <w:p w14:paraId="0A30E4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(тыс. рублей)</w:t>
            </w:r>
          </w:p>
        </w:tc>
        <w:tc>
          <w:tcPr>
            <w:tcW w:w="3731" w:type="dxa"/>
            <w:gridSpan w:val="2"/>
          </w:tcPr>
          <w:p w14:paraId="36EFC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 к 202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году</w:t>
            </w:r>
          </w:p>
        </w:tc>
      </w:tr>
      <w:tr w14:paraId="7C0808B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2" w:type="dxa"/>
            <w:vMerge w:val="continue"/>
          </w:tcPr>
          <w:p w14:paraId="0857B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vMerge w:val="continue"/>
          </w:tcPr>
          <w:p w14:paraId="236A8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vMerge w:val="continue"/>
          </w:tcPr>
          <w:p w14:paraId="509AE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</w:tcPr>
          <w:p w14:paraId="2DBB4C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тыс. рублей</w:t>
            </w:r>
          </w:p>
        </w:tc>
        <w:tc>
          <w:tcPr>
            <w:tcW w:w="1817" w:type="dxa"/>
          </w:tcPr>
          <w:p w14:paraId="4AA433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%</w:t>
            </w:r>
          </w:p>
        </w:tc>
      </w:tr>
      <w:tr w14:paraId="06F14B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2" w:type="dxa"/>
          </w:tcPr>
          <w:p w14:paraId="602528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Уточненный годовой план</w:t>
            </w:r>
          </w:p>
        </w:tc>
        <w:tc>
          <w:tcPr>
            <w:tcW w:w="1914" w:type="dxa"/>
          </w:tcPr>
          <w:p w14:paraId="1449A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4 276 926,74</w:t>
            </w:r>
          </w:p>
        </w:tc>
        <w:tc>
          <w:tcPr>
            <w:tcW w:w="1914" w:type="dxa"/>
            <w:vAlign w:val="top"/>
          </w:tcPr>
          <w:p w14:paraId="285B9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3 494 864,32</w:t>
            </w:r>
          </w:p>
        </w:tc>
        <w:tc>
          <w:tcPr>
            <w:tcW w:w="1914" w:type="dxa"/>
          </w:tcPr>
          <w:p w14:paraId="2C5FC2D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782 062,42</w:t>
            </w:r>
          </w:p>
        </w:tc>
        <w:tc>
          <w:tcPr>
            <w:tcW w:w="1817" w:type="dxa"/>
          </w:tcPr>
          <w:p w14:paraId="17A8A06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22,4</w:t>
            </w:r>
          </w:p>
        </w:tc>
      </w:tr>
      <w:tr w14:paraId="297AE4D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2" w:type="dxa"/>
          </w:tcPr>
          <w:p w14:paraId="126236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Кассовое исполнение</w:t>
            </w:r>
          </w:p>
        </w:tc>
        <w:tc>
          <w:tcPr>
            <w:tcW w:w="1914" w:type="dxa"/>
          </w:tcPr>
          <w:p w14:paraId="5C006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highlight w:val="none"/>
                <w:lang w:val="ru-RU"/>
              </w:rPr>
              <w:t>4 325 078,50</w:t>
            </w:r>
          </w:p>
        </w:tc>
        <w:tc>
          <w:tcPr>
            <w:tcW w:w="1914" w:type="dxa"/>
            <w:vAlign w:val="top"/>
          </w:tcPr>
          <w:p w14:paraId="0EF70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3 592 820,75</w:t>
            </w:r>
          </w:p>
        </w:tc>
        <w:tc>
          <w:tcPr>
            <w:tcW w:w="1914" w:type="dxa"/>
          </w:tcPr>
          <w:p w14:paraId="44849E7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+ 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732 257,75</w:t>
            </w:r>
          </w:p>
        </w:tc>
        <w:tc>
          <w:tcPr>
            <w:tcW w:w="1817" w:type="dxa"/>
          </w:tcPr>
          <w:p w14:paraId="4629A18C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20,4</w:t>
            </w:r>
          </w:p>
        </w:tc>
      </w:tr>
    </w:tbl>
    <w:p w14:paraId="2072D5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14:paraId="3B1618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Первоначальный план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по налоговым и неналоговым доходам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утвержден на 202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 в общей сумме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1 181 531,20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рублей, в результате внесенных изменений составил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1 182 872,78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 (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0,1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% от первоначального плана).</w:t>
      </w:r>
    </w:p>
    <w:p w14:paraId="5D8CAF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Фактически уточненный план по налоговым и неналоговым доходам (в сумме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1 182 872,78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рублей) исполнен на 1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12,1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%, в бюджет округа поступило 1 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325 876,66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рублей, что увеличило аналогичный показатель за 202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 на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180 673,32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 (на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15,8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%).</w:t>
      </w:r>
    </w:p>
    <w:p w14:paraId="014CA7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Увеличение в основном было обеспечено по следующим доходам:</w:t>
      </w:r>
    </w:p>
    <w:p w14:paraId="73C732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Таблица № 5</w:t>
      </w:r>
    </w:p>
    <w:p w14:paraId="13858C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(тыс. рублей)</w:t>
      </w:r>
    </w:p>
    <w:tbl>
      <w:tblPr>
        <w:tblStyle w:val="10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1560"/>
        <w:gridCol w:w="1701"/>
        <w:gridCol w:w="1559"/>
        <w:gridCol w:w="1241"/>
      </w:tblGrid>
      <w:tr w14:paraId="0D7D93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vMerge w:val="restart"/>
          </w:tcPr>
          <w:p w14:paraId="5AB4C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14:paraId="0A90D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Кассовое исполнение за 202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vMerge w:val="restart"/>
          </w:tcPr>
          <w:p w14:paraId="3ABE1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Кассовое исполнение за 202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2800" w:type="dxa"/>
            <w:gridSpan w:val="2"/>
          </w:tcPr>
          <w:p w14:paraId="650BA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Отклонение к 202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</w:tr>
      <w:tr w14:paraId="2C7A0E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vMerge w:val="continue"/>
          </w:tcPr>
          <w:p w14:paraId="21C90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continue"/>
          </w:tcPr>
          <w:p w14:paraId="02591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</w:tcPr>
          <w:p w14:paraId="2EBAE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DDB7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тыс. рублей</w:t>
            </w:r>
          </w:p>
          <w:p w14:paraId="3729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14:paraId="079E3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%</w:t>
            </w:r>
          </w:p>
          <w:p w14:paraId="0E867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85556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510" w:type="dxa"/>
          </w:tcPr>
          <w:p w14:paraId="0D9D9E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Налоговые и неналоговые доходы</w:t>
            </w:r>
          </w:p>
          <w:p w14:paraId="2A7721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1560" w:type="dxa"/>
          </w:tcPr>
          <w:p w14:paraId="70C2C6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1 325 876,66</w:t>
            </w:r>
          </w:p>
        </w:tc>
        <w:tc>
          <w:tcPr>
            <w:tcW w:w="1701" w:type="dxa"/>
          </w:tcPr>
          <w:p w14:paraId="755FBB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1 145 203,34</w:t>
            </w:r>
          </w:p>
        </w:tc>
        <w:tc>
          <w:tcPr>
            <w:tcW w:w="1559" w:type="dxa"/>
          </w:tcPr>
          <w:p w14:paraId="2808B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180 673,32</w:t>
            </w:r>
          </w:p>
        </w:tc>
        <w:tc>
          <w:tcPr>
            <w:tcW w:w="1241" w:type="dxa"/>
          </w:tcPr>
          <w:p w14:paraId="6BA04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15,8</w:t>
            </w:r>
          </w:p>
        </w:tc>
      </w:tr>
      <w:tr w14:paraId="7F690B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510" w:type="dxa"/>
          </w:tcPr>
          <w:p w14:paraId="1272B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560" w:type="dxa"/>
          </w:tcPr>
          <w:p w14:paraId="0705F1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695 697,14</w:t>
            </w:r>
          </w:p>
        </w:tc>
        <w:tc>
          <w:tcPr>
            <w:tcW w:w="1701" w:type="dxa"/>
            <w:vAlign w:val="top"/>
          </w:tcPr>
          <w:p w14:paraId="7A5A3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615 481,21</w:t>
            </w:r>
          </w:p>
        </w:tc>
        <w:tc>
          <w:tcPr>
            <w:tcW w:w="1559" w:type="dxa"/>
          </w:tcPr>
          <w:p w14:paraId="2E5BF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80 215,93</w:t>
            </w:r>
          </w:p>
        </w:tc>
        <w:tc>
          <w:tcPr>
            <w:tcW w:w="1241" w:type="dxa"/>
          </w:tcPr>
          <w:p w14:paraId="2A4D0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13,0</w:t>
            </w:r>
          </w:p>
        </w:tc>
      </w:tr>
      <w:tr w14:paraId="01F53F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 w14:paraId="544AA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Налог на имущество </w:t>
            </w:r>
          </w:p>
        </w:tc>
        <w:tc>
          <w:tcPr>
            <w:tcW w:w="1560" w:type="dxa"/>
          </w:tcPr>
          <w:p w14:paraId="1B4B6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50 560,07</w:t>
            </w:r>
          </w:p>
        </w:tc>
        <w:tc>
          <w:tcPr>
            <w:tcW w:w="1701" w:type="dxa"/>
            <w:vAlign w:val="top"/>
          </w:tcPr>
          <w:p w14:paraId="4CD2B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216 612,24</w:t>
            </w:r>
          </w:p>
        </w:tc>
        <w:tc>
          <w:tcPr>
            <w:tcW w:w="1559" w:type="dxa"/>
          </w:tcPr>
          <w:p w14:paraId="560F0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33 947,93</w:t>
            </w:r>
          </w:p>
        </w:tc>
        <w:tc>
          <w:tcPr>
            <w:tcW w:w="1241" w:type="dxa"/>
          </w:tcPr>
          <w:p w14:paraId="28420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+15,7</w:t>
            </w:r>
          </w:p>
        </w:tc>
      </w:tr>
    </w:tbl>
    <w:p w14:paraId="0324F5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color w:val="000000"/>
          <w:sz w:val="28"/>
          <w:szCs w:val="28"/>
        </w:rPr>
        <w:t xml:space="preserve">Налоговые доходы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(подгруппы 1 01 – 1 08) поступили в отчетном периоде в сумме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1 191 069,58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рублей, что на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157 734,74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 больше поступлений за 202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 (</w:t>
      </w:r>
      <w:r>
        <w:rPr>
          <w:rFonts w:ascii="Times New Roman" w:hAnsi="Times New Roman" w:cs="Times New Roman"/>
          <w:sz w:val="28"/>
          <w:szCs w:val="28"/>
        </w:rPr>
        <w:t>1 033 334,84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рублей).</w:t>
      </w:r>
    </w:p>
    <w:p w14:paraId="16073C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Информация об исполнении в отчетном периоде налоговых доходов по подгруппам представлена в таблице:</w:t>
      </w:r>
    </w:p>
    <w:p w14:paraId="7A69BBD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Таблица № 6</w:t>
      </w:r>
    </w:p>
    <w:tbl>
      <w:tblPr>
        <w:tblStyle w:val="10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2094"/>
        <w:gridCol w:w="1474"/>
        <w:gridCol w:w="1411"/>
        <w:gridCol w:w="1367"/>
        <w:gridCol w:w="1240"/>
        <w:gridCol w:w="852"/>
      </w:tblGrid>
      <w:tr w14:paraId="02FBCB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vMerge w:val="restart"/>
          </w:tcPr>
          <w:p w14:paraId="28BD9F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п/группа</w:t>
            </w:r>
          </w:p>
          <w:p w14:paraId="3017A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 w:val="restart"/>
          </w:tcPr>
          <w:p w14:paraId="0CF350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подгруппы</w:t>
            </w:r>
          </w:p>
          <w:p w14:paraId="43349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vMerge w:val="restart"/>
          </w:tcPr>
          <w:p w14:paraId="5D4D3D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Утверждено на 202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2778" w:type="dxa"/>
            <w:gridSpan w:val="2"/>
          </w:tcPr>
          <w:p w14:paraId="52F818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Кассовое исполнение за 202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2092" w:type="dxa"/>
            <w:gridSpan w:val="2"/>
          </w:tcPr>
          <w:p w14:paraId="5892FC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 к 202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году</w:t>
            </w:r>
          </w:p>
        </w:tc>
      </w:tr>
      <w:tr w14:paraId="189261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vMerge w:val="continue"/>
          </w:tcPr>
          <w:p w14:paraId="2B400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  <w:vMerge w:val="continue"/>
          </w:tcPr>
          <w:p w14:paraId="4F5919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vMerge w:val="continue"/>
          </w:tcPr>
          <w:p w14:paraId="49DB58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1" w:type="dxa"/>
          </w:tcPr>
          <w:p w14:paraId="31D911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тыс. рублей</w:t>
            </w:r>
          </w:p>
          <w:p w14:paraId="453E5B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7" w:type="dxa"/>
          </w:tcPr>
          <w:p w14:paraId="5CEEC9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% к уточненному плану</w:t>
            </w:r>
          </w:p>
        </w:tc>
        <w:tc>
          <w:tcPr>
            <w:tcW w:w="1240" w:type="dxa"/>
          </w:tcPr>
          <w:p w14:paraId="45E91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тыс. рублей</w:t>
            </w:r>
          </w:p>
          <w:p w14:paraId="7463ED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</w:tcPr>
          <w:p w14:paraId="36AA12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%</w:t>
            </w:r>
          </w:p>
          <w:p w14:paraId="365568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645E94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</w:tcPr>
          <w:p w14:paraId="4B4B0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1 01</w:t>
            </w:r>
          </w:p>
        </w:tc>
        <w:tc>
          <w:tcPr>
            <w:tcW w:w="2094" w:type="dxa"/>
          </w:tcPr>
          <w:p w14:paraId="6C5F5F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474" w:type="dxa"/>
            <w:vAlign w:val="center"/>
          </w:tcPr>
          <w:p w14:paraId="00DCA9C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636 290,00 </w:t>
            </w:r>
          </w:p>
        </w:tc>
        <w:tc>
          <w:tcPr>
            <w:tcW w:w="1411" w:type="dxa"/>
            <w:vAlign w:val="center"/>
          </w:tcPr>
          <w:p w14:paraId="258F573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695 697,14 </w:t>
            </w:r>
          </w:p>
        </w:tc>
        <w:tc>
          <w:tcPr>
            <w:tcW w:w="1367" w:type="dxa"/>
            <w:vAlign w:val="center"/>
          </w:tcPr>
          <w:p w14:paraId="12BA52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109,3 </w:t>
            </w:r>
          </w:p>
        </w:tc>
        <w:tc>
          <w:tcPr>
            <w:tcW w:w="1240" w:type="dxa"/>
            <w:vAlign w:val="center"/>
          </w:tcPr>
          <w:p w14:paraId="7255D4E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+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80 215,82 </w:t>
            </w:r>
          </w:p>
        </w:tc>
        <w:tc>
          <w:tcPr>
            <w:tcW w:w="852" w:type="dxa"/>
            <w:vAlign w:val="center"/>
          </w:tcPr>
          <w:p w14:paraId="75B734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+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13,0 </w:t>
            </w:r>
          </w:p>
        </w:tc>
      </w:tr>
      <w:tr w14:paraId="6A1F7C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</w:tcPr>
          <w:p w14:paraId="534007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1 03</w:t>
            </w:r>
          </w:p>
          <w:p w14:paraId="322E11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</w:tcPr>
          <w:p w14:paraId="3436F0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Налоги на товары (работы, услуги), реализуемые на территории РФ</w:t>
            </w:r>
          </w:p>
        </w:tc>
        <w:tc>
          <w:tcPr>
            <w:tcW w:w="1474" w:type="dxa"/>
            <w:vAlign w:val="center"/>
          </w:tcPr>
          <w:p w14:paraId="4CDB18A8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54 396,00 </w:t>
            </w:r>
          </w:p>
        </w:tc>
        <w:tc>
          <w:tcPr>
            <w:tcW w:w="1411" w:type="dxa"/>
            <w:vAlign w:val="center"/>
          </w:tcPr>
          <w:p w14:paraId="2CDE98D5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53 702,62 </w:t>
            </w:r>
          </w:p>
        </w:tc>
        <w:tc>
          <w:tcPr>
            <w:tcW w:w="1367" w:type="dxa"/>
            <w:vAlign w:val="center"/>
          </w:tcPr>
          <w:p w14:paraId="3EF59C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98,7 </w:t>
            </w:r>
          </w:p>
        </w:tc>
        <w:tc>
          <w:tcPr>
            <w:tcW w:w="1240" w:type="dxa"/>
            <w:vAlign w:val="center"/>
          </w:tcPr>
          <w:p w14:paraId="2631EC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+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2 713,79 </w:t>
            </w:r>
          </w:p>
        </w:tc>
        <w:tc>
          <w:tcPr>
            <w:tcW w:w="852" w:type="dxa"/>
            <w:vAlign w:val="center"/>
          </w:tcPr>
          <w:p w14:paraId="2C0D140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+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5,3 </w:t>
            </w:r>
          </w:p>
        </w:tc>
      </w:tr>
      <w:tr w14:paraId="1B586E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</w:tcPr>
          <w:p w14:paraId="5D6C5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1 05</w:t>
            </w:r>
          </w:p>
        </w:tc>
        <w:tc>
          <w:tcPr>
            <w:tcW w:w="2094" w:type="dxa"/>
          </w:tcPr>
          <w:p w14:paraId="14677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474" w:type="dxa"/>
            <w:vAlign w:val="center"/>
          </w:tcPr>
          <w:p w14:paraId="065B5A4B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149 069,46 </w:t>
            </w:r>
          </w:p>
        </w:tc>
        <w:tc>
          <w:tcPr>
            <w:tcW w:w="1411" w:type="dxa"/>
            <w:vAlign w:val="center"/>
          </w:tcPr>
          <w:p w14:paraId="70C9A110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157 932,16 </w:t>
            </w:r>
          </w:p>
        </w:tc>
        <w:tc>
          <w:tcPr>
            <w:tcW w:w="1367" w:type="dxa"/>
            <w:vAlign w:val="center"/>
          </w:tcPr>
          <w:p w14:paraId="1DA108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105,9 </w:t>
            </w:r>
          </w:p>
        </w:tc>
        <w:tc>
          <w:tcPr>
            <w:tcW w:w="1240" w:type="dxa"/>
            <w:vAlign w:val="center"/>
          </w:tcPr>
          <w:p w14:paraId="0D1CF0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+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24 760,39 </w:t>
            </w:r>
          </w:p>
        </w:tc>
        <w:tc>
          <w:tcPr>
            <w:tcW w:w="852" w:type="dxa"/>
            <w:vAlign w:val="center"/>
          </w:tcPr>
          <w:p w14:paraId="02BC4F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+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18,6 </w:t>
            </w:r>
          </w:p>
        </w:tc>
      </w:tr>
      <w:tr w14:paraId="467C1C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</w:tcPr>
          <w:p w14:paraId="34556A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2094" w:type="dxa"/>
          </w:tcPr>
          <w:p w14:paraId="45F718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имущество</w:t>
            </w:r>
          </w:p>
        </w:tc>
        <w:tc>
          <w:tcPr>
            <w:tcW w:w="1474" w:type="dxa"/>
            <w:vAlign w:val="center"/>
          </w:tcPr>
          <w:p w14:paraId="31D6F1A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227 033,20 </w:t>
            </w:r>
          </w:p>
        </w:tc>
        <w:tc>
          <w:tcPr>
            <w:tcW w:w="1411" w:type="dxa"/>
            <w:vAlign w:val="center"/>
          </w:tcPr>
          <w:p w14:paraId="369C14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250 560,07 </w:t>
            </w:r>
          </w:p>
        </w:tc>
        <w:tc>
          <w:tcPr>
            <w:tcW w:w="1367" w:type="dxa"/>
            <w:vAlign w:val="center"/>
          </w:tcPr>
          <w:p w14:paraId="48FC60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110,4 </w:t>
            </w:r>
          </w:p>
        </w:tc>
        <w:tc>
          <w:tcPr>
            <w:tcW w:w="1240" w:type="dxa"/>
            <w:vAlign w:val="center"/>
          </w:tcPr>
          <w:p w14:paraId="6E6B6D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+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33 947,83 </w:t>
            </w:r>
          </w:p>
        </w:tc>
        <w:tc>
          <w:tcPr>
            <w:tcW w:w="852" w:type="dxa"/>
            <w:vAlign w:val="center"/>
          </w:tcPr>
          <w:p w14:paraId="3843E9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+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15,7 </w:t>
            </w:r>
          </w:p>
        </w:tc>
      </w:tr>
      <w:tr w14:paraId="642581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</w:tcPr>
          <w:p w14:paraId="554298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1 08</w:t>
            </w:r>
          </w:p>
        </w:tc>
        <w:tc>
          <w:tcPr>
            <w:tcW w:w="2094" w:type="dxa"/>
          </w:tcPr>
          <w:p w14:paraId="03379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474" w:type="dxa"/>
            <w:vAlign w:val="center"/>
          </w:tcPr>
          <w:p w14:paraId="1E36E6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32 780,63 </w:t>
            </w:r>
          </w:p>
        </w:tc>
        <w:tc>
          <w:tcPr>
            <w:tcW w:w="1411" w:type="dxa"/>
            <w:vAlign w:val="center"/>
          </w:tcPr>
          <w:p w14:paraId="1C2A8A8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33 177,59 </w:t>
            </w:r>
          </w:p>
        </w:tc>
        <w:tc>
          <w:tcPr>
            <w:tcW w:w="1367" w:type="dxa"/>
            <w:vAlign w:val="center"/>
          </w:tcPr>
          <w:p w14:paraId="39FBDE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101,2 </w:t>
            </w:r>
          </w:p>
        </w:tc>
        <w:tc>
          <w:tcPr>
            <w:tcW w:w="1240" w:type="dxa"/>
            <w:vAlign w:val="center"/>
          </w:tcPr>
          <w:p w14:paraId="4419261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+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16 096,91 </w:t>
            </w:r>
          </w:p>
        </w:tc>
        <w:tc>
          <w:tcPr>
            <w:tcW w:w="852" w:type="dxa"/>
            <w:vAlign w:val="center"/>
          </w:tcPr>
          <w:p w14:paraId="0FF49E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+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94,2 </w:t>
            </w:r>
          </w:p>
        </w:tc>
      </w:tr>
      <w:tr w14:paraId="2D4EB9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</w:tcPr>
          <w:p w14:paraId="0EFA58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4" w:type="dxa"/>
          </w:tcPr>
          <w:p w14:paraId="6150C6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color w:val="000000"/>
                <w:sz w:val="20"/>
                <w:szCs w:val="20"/>
              </w:rPr>
              <w:t xml:space="preserve">Всего налоговые </w:t>
            </w:r>
          </w:p>
          <w:p w14:paraId="41149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color w:val="000000"/>
                <w:sz w:val="20"/>
                <w:szCs w:val="20"/>
              </w:rPr>
              <w:t>доходы</w:t>
            </w:r>
          </w:p>
        </w:tc>
        <w:tc>
          <w:tcPr>
            <w:tcW w:w="1474" w:type="dxa"/>
            <w:vAlign w:val="center"/>
          </w:tcPr>
          <w:p w14:paraId="79C082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1099 569,29 </w:t>
            </w:r>
          </w:p>
        </w:tc>
        <w:tc>
          <w:tcPr>
            <w:tcW w:w="1411" w:type="dxa"/>
            <w:vAlign w:val="center"/>
          </w:tcPr>
          <w:p w14:paraId="37DDEA4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1191 069,58 </w:t>
            </w:r>
          </w:p>
        </w:tc>
        <w:tc>
          <w:tcPr>
            <w:tcW w:w="1367" w:type="dxa"/>
            <w:vAlign w:val="center"/>
          </w:tcPr>
          <w:p w14:paraId="18452C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108,3 </w:t>
            </w:r>
          </w:p>
        </w:tc>
        <w:tc>
          <w:tcPr>
            <w:tcW w:w="1240" w:type="dxa"/>
            <w:vAlign w:val="center"/>
          </w:tcPr>
          <w:p w14:paraId="39DBF7F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+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157 734,74 </w:t>
            </w:r>
          </w:p>
        </w:tc>
        <w:tc>
          <w:tcPr>
            <w:tcW w:w="852" w:type="dxa"/>
            <w:vAlign w:val="center"/>
          </w:tcPr>
          <w:p w14:paraId="24FFA2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+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15,3 </w:t>
            </w:r>
          </w:p>
        </w:tc>
      </w:tr>
    </w:tbl>
    <w:p w14:paraId="1A3EF2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</w:p>
    <w:p w14:paraId="5FE181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(1 01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eastAsia="Times New Roman,Bold" w:cs="Times New Roman"/>
          <w:bCs/>
          <w:color w:val="000000"/>
          <w:sz w:val="28"/>
          <w:szCs w:val="28"/>
        </w:rPr>
        <w:t xml:space="preserve">Налоги на прибыль, доходы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поступили в сумме 6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95 697,14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 по налогу на доходы физических лиц (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109,3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% к годовым назначениям), с ростом на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13,0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% по отношению к прошлому году.</w:t>
      </w:r>
    </w:p>
    <w:p w14:paraId="01D90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(1 03) </w:t>
      </w:r>
      <w:r>
        <w:rPr>
          <w:rFonts w:ascii="Times New Roman" w:hAnsi="Times New Roman" w:eastAsia="Times New Roman,Bold" w:cs="Times New Roman"/>
          <w:bCs/>
          <w:color w:val="000000"/>
          <w:sz w:val="28"/>
          <w:szCs w:val="28"/>
        </w:rPr>
        <w:t xml:space="preserve">Налоги на товары (работы, услуги), акцизы по подакцизным товарам (продукции)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поступили в сумме 5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3 702,62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 (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98,7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% к годовым назначениям), с ростом на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5,3 </w:t>
      </w:r>
      <w:r>
        <w:rPr>
          <w:rFonts w:ascii="Times New Roman" w:hAnsi="Times New Roman" w:cs="Times New Roman"/>
          <w:color w:val="000000"/>
          <w:sz w:val="28"/>
          <w:szCs w:val="28"/>
        </w:rPr>
        <w:t>% по отношению к прошлому году.</w:t>
      </w:r>
    </w:p>
    <w:p w14:paraId="0C557C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(1 05) </w:t>
      </w:r>
      <w:r>
        <w:rPr>
          <w:rFonts w:ascii="Times New Roman" w:hAnsi="Times New Roman" w:eastAsia="Times New Roman,Bold" w:cs="Times New Roman"/>
          <w:bCs/>
          <w:color w:val="000000"/>
          <w:sz w:val="28"/>
          <w:szCs w:val="28"/>
        </w:rPr>
        <w:t xml:space="preserve">Налоги на совокупный доход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поступили в сумме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157 932,16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 (1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05,9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% к годовым назначениям), с увеличением на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18,6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% по отношению к прошлому году.</w:t>
      </w:r>
    </w:p>
    <w:p w14:paraId="4F9F46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(1 06) </w:t>
      </w:r>
      <w:r>
        <w:rPr>
          <w:rFonts w:ascii="Times New Roman" w:hAnsi="Times New Roman" w:eastAsia="Times New Roman,Bold" w:cs="Times New Roman"/>
          <w:bCs/>
          <w:color w:val="000000"/>
          <w:sz w:val="28"/>
          <w:szCs w:val="28"/>
        </w:rPr>
        <w:t xml:space="preserve">Налоги на имущество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поступили в сумме 2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50 560,07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 (1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10,4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% к годовым назначениям), с ростом на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15,7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% по отношению к прошлому году.</w:t>
      </w:r>
    </w:p>
    <w:p w14:paraId="04A23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(1 08) </w:t>
      </w:r>
      <w:r>
        <w:rPr>
          <w:rFonts w:ascii="Times New Roman" w:hAnsi="Times New Roman" w:eastAsia="Times New Roman,Bold" w:cs="Times New Roman"/>
          <w:bCs/>
          <w:color w:val="000000"/>
          <w:sz w:val="28"/>
          <w:szCs w:val="28"/>
        </w:rPr>
        <w:t xml:space="preserve">Государственная пошлина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доход бюджета в отчетном году поступила в размере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33 177,59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</w:t>
      </w:r>
      <w:bookmarkStart w:id="1" w:name="_GoBack"/>
      <w:bookmarkEnd w:id="1"/>
      <w:r>
        <w:rPr>
          <w:rFonts w:ascii="Times New Roman" w:hAnsi="Times New Roman" w:cs="Times New Roman"/>
          <w:color w:val="000000"/>
          <w:sz w:val="28"/>
          <w:szCs w:val="28"/>
        </w:rPr>
        <w:t>с. рублей или 10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% от уточненного годового плана, с ростом на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94,2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% по отношению к прошлому году. </w:t>
      </w:r>
    </w:p>
    <w:p w14:paraId="68C644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color w:val="000000"/>
          <w:sz w:val="28"/>
          <w:szCs w:val="28"/>
        </w:rPr>
        <w:t xml:space="preserve">Неналоговые доходы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(подгруппы 1 11 – 1 17) поступили в сумме </w:t>
      </w:r>
      <w:r>
        <w:rPr>
          <w:rFonts w:ascii="Times New Roman" w:hAnsi="Times New Roman" w:cs="Times New Roman"/>
          <w:sz w:val="28"/>
          <w:szCs w:val="28"/>
        </w:rPr>
        <w:t>111 868,50 тыс. рублей, что на 15 248,73 тыс. рублей меньше уровня поступлений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 202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 (127 117,23 тыс. рублей).</w:t>
      </w:r>
    </w:p>
    <w:p w14:paraId="4F8FD8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Информация об исполнении в отчетном периоде неналоговых доходов по подгруппам представлена в таблице:</w:t>
      </w:r>
    </w:p>
    <w:p w14:paraId="360E4C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Таблица № 7</w:t>
      </w:r>
    </w:p>
    <w:tbl>
      <w:tblPr>
        <w:tblStyle w:val="10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977"/>
        <w:gridCol w:w="1276"/>
        <w:gridCol w:w="1276"/>
        <w:gridCol w:w="992"/>
        <w:gridCol w:w="1276"/>
        <w:gridCol w:w="1099"/>
      </w:tblGrid>
      <w:tr w14:paraId="0AEBAC1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</w:tcPr>
          <w:p w14:paraId="09C30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п/группа</w:t>
            </w:r>
          </w:p>
          <w:p w14:paraId="5B1ED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1AFDF3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подгруппы</w:t>
            </w:r>
          </w:p>
          <w:p w14:paraId="6697CB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6EF45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Утверждено на 202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2268" w:type="dxa"/>
            <w:gridSpan w:val="2"/>
          </w:tcPr>
          <w:p w14:paraId="6C3EC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Кассовое исполнение за 202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5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2375" w:type="dxa"/>
            <w:gridSpan w:val="2"/>
          </w:tcPr>
          <w:p w14:paraId="03D9D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 к 202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году</w:t>
            </w:r>
          </w:p>
        </w:tc>
      </w:tr>
      <w:tr w14:paraId="0D227E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 w14:paraId="4D0BD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 w:val="continue"/>
          </w:tcPr>
          <w:p w14:paraId="2FE41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</w:tcPr>
          <w:p w14:paraId="0CED0A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92A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тыс. рублей</w:t>
            </w:r>
          </w:p>
        </w:tc>
        <w:tc>
          <w:tcPr>
            <w:tcW w:w="992" w:type="dxa"/>
          </w:tcPr>
          <w:p w14:paraId="3BD5A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% к уточн. плану</w:t>
            </w:r>
          </w:p>
        </w:tc>
        <w:tc>
          <w:tcPr>
            <w:tcW w:w="1276" w:type="dxa"/>
          </w:tcPr>
          <w:p w14:paraId="59A38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тыс. рублей</w:t>
            </w:r>
          </w:p>
        </w:tc>
        <w:tc>
          <w:tcPr>
            <w:tcW w:w="1099" w:type="dxa"/>
          </w:tcPr>
          <w:p w14:paraId="1C60A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%</w:t>
            </w:r>
          </w:p>
          <w:p w14:paraId="3BE17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BB0E2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19529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1 11</w:t>
            </w:r>
          </w:p>
          <w:p w14:paraId="29B396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6C7E7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vAlign w:val="center"/>
          </w:tcPr>
          <w:p w14:paraId="6B2BD0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43 106,38 </w:t>
            </w:r>
          </w:p>
        </w:tc>
        <w:tc>
          <w:tcPr>
            <w:tcW w:w="1276" w:type="dxa"/>
            <w:vAlign w:val="center"/>
          </w:tcPr>
          <w:p w14:paraId="58A40E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61 615,59 </w:t>
            </w:r>
          </w:p>
        </w:tc>
        <w:tc>
          <w:tcPr>
            <w:tcW w:w="992" w:type="dxa"/>
            <w:vAlign w:val="center"/>
          </w:tcPr>
          <w:p w14:paraId="7DFEC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142,9 </w:t>
            </w:r>
          </w:p>
        </w:tc>
        <w:tc>
          <w:tcPr>
            <w:tcW w:w="1276" w:type="dxa"/>
            <w:vAlign w:val="center"/>
          </w:tcPr>
          <w:p w14:paraId="0DD6E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+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6 376,94 </w:t>
            </w:r>
          </w:p>
        </w:tc>
        <w:tc>
          <w:tcPr>
            <w:tcW w:w="1099" w:type="dxa"/>
            <w:vAlign w:val="center"/>
          </w:tcPr>
          <w:p w14:paraId="3E0C4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+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11,5 </w:t>
            </w:r>
          </w:p>
        </w:tc>
      </w:tr>
      <w:tr w14:paraId="4C7DDC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0C011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1 12</w:t>
            </w:r>
          </w:p>
          <w:p w14:paraId="4157A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B02A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1276" w:type="dxa"/>
            <w:vAlign w:val="center"/>
          </w:tcPr>
          <w:p w14:paraId="75A22F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5 636,94 </w:t>
            </w:r>
          </w:p>
        </w:tc>
        <w:tc>
          <w:tcPr>
            <w:tcW w:w="1276" w:type="dxa"/>
            <w:vAlign w:val="center"/>
          </w:tcPr>
          <w:p w14:paraId="5A5ABB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4 610,81 </w:t>
            </w:r>
          </w:p>
        </w:tc>
        <w:tc>
          <w:tcPr>
            <w:tcW w:w="992" w:type="dxa"/>
            <w:vAlign w:val="center"/>
          </w:tcPr>
          <w:p w14:paraId="4E1DE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81,8 </w:t>
            </w:r>
          </w:p>
        </w:tc>
        <w:tc>
          <w:tcPr>
            <w:tcW w:w="1276" w:type="dxa"/>
            <w:vAlign w:val="center"/>
          </w:tcPr>
          <w:p w14:paraId="6A057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-4 625,75 </w:t>
            </w:r>
          </w:p>
        </w:tc>
        <w:tc>
          <w:tcPr>
            <w:tcW w:w="1099" w:type="dxa"/>
            <w:vAlign w:val="center"/>
          </w:tcPr>
          <w:p w14:paraId="66B2A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- 50,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</w:tr>
      <w:tr w14:paraId="1EEDD46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4DC08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1 13</w:t>
            </w:r>
          </w:p>
          <w:p w14:paraId="3F600D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BA4B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276" w:type="dxa"/>
            <w:vAlign w:val="center"/>
          </w:tcPr>
          <w:p w14:paraId="60D60B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3 603,31 </w:t>
            </w:r>
          </w:p>
        </w:tc>
        <w:tc>
          <w:tcPr>
            <w:tcW w:w="1276" w:type="dxa"/>
            <w:vAlign w:val="center"/>
          </w:tcPr>
          <w:p w14:paraId="45FAAC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21 862,55 </w:t>
            </w:r>
          </w:p>
        </w:tc>
        <w:tc>
          <w:tcPr>
            <w:tcW w:w="992" w:type="dxa"/>
            <w:vAlign w:val="center"/>
          </w:tcPr>
          <w:p w14:paraId="3B0B4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606,7 </w:t>
            </w:r>
          </w:p>
        </w:tc>
        <w:tc>
          <w:tcPr>
            <w:tcW w:w="1276" w:type="dxa"/>
            <w:vAlign w:val="center"/>
          </w:tcPr>
          <w:p w14:paraId="0A024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+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17 571,78 </w:t>
            </w:r>
          </w:p>
        </w:tc>
        <w:tc>
          <w:tcPr>
            <w:tcW w:w="1099" w:type="dxa"/>
            <w:vAlign w:val="center"/>
          </w:tcPr>
          <w:p w14:paraId="58BD9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+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409,5 </w:t>
            </w:r>
          </w:p>
        </w:tc>
      </w:tr>
      <w:tr w14:paraId="0C258E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675" w:type="dxa"/>
          </w:tcPr>
          <w:p w14:paraId="0D91DB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1 14</w:t>
            </w:r>
          </w:p>
          <w:p w14:paraId="450B1D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C1817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276" w:type="dxa"/>
            <w:vAlign w:val="center"/>
          </w:tcPr>
          <w:p w14:paraId="48414D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21 299,76 </w:t>
            </w:r>
          </w:p>
        </w:tc>
        <w:tc>
          <w:tcPr>
            <w:tcW w:w="1276" w:type="dxa"/>
            <w:vAlign w:val="center"/>
          </w:tcPr>
          <w:p w14:paraId="450F16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25 855,81 </w:t>
            </w:r>
          </w:p>
        </w:tc>
        <w:tc>
          <w:tcPr>
            <w:tcW w:w="992" w:type="dxa"/>
            <w:vAlign w:val="center"/>
          </w:tcPr>
          <w:p w14:paraId="56418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121,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25F8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-8 427,00 </w:t>
            </w:r>
          </w:p>
        </w:tc>
        <w:tc>
          <w:tcPr>
            <w:tcW w:w="1099" w:type="dxa"/>
            <w:vAlign w:val="center"/>
          </w:tcPr>
          <w:p w14:paraId="0951C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- 24,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</w:tr>
      <w:tr w14:paraId="51A5D3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D232C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1 16</w:t>
            </w:r>
          </w:p>
          <w:p w14:paraId="10515A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C5EE6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276" w:type="dxa"/>
            <w:vAlign w:val="center"/>
          </w:tcPr>
          <w:p w14:paraId="7960FE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7 473,27 </w:t>
            </w:r>
          </w:p>
        </w:tc>
        <w:tc>
          <w:tcPr>
            <w:tcW w:w="1276" w:type="dxa"/>
            <w:vAlign w:val="center"/>
          </w:tcPr>
          <w:p w14:paraId="09F5DC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18 614,89 </w:t>
            </w:r>
          </w:p>
        </w:tc>
        <w:tc>
          <w:tcPr>
            <w:tcW w:w="992" w:type="dxa"/>
            <w:vAlign w:val="center"/>
          </w:tcPr>
          <w:p w14:paraId="4AD1A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249,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11F2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+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15 471,43 </w:t>
            </w:r>
          </w:p>
        </w:tc>
        <w:tc>
          <w:tcPr>
            <w:tcW w:w="1099" w:type="dxa"/>
            <w:vAlign w:val="center"/>
          </w:tcPr>
          <w:p w14:paraId="08E13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+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492,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2</w:t>
            </w:r>
          </w:p>
        </w:tc>
      </w:tr>
      <w:tr w14:paraId="623634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8431E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1 17</w:t>
            </w:r>
          </w:p>
          <w:p w14:paraId="3A292D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8B946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276" w:type="dxa"/>
            <w:vAlign w:val="center"/>
          </w:tcPr>
          <w:p w14:paraId="0970D2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2 183,34 </w:t>
            </w:r>
          </w:p>
        </w:tc>
        <w:tc>
          <w:tcPr>
            <w:tcW w:w="1276" w:type="dxa"/>
            <w:vAlign w:val="center"/>
          </w:tcPr>
          <w:p w14:paraId="30D135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2 247,42 </w:t>
            </w:r>
          </w:p>
        </w:tc>
        <w:tc>
          <w:tcPr>
            <w:tcW w:w="992" w:type="dxa"/>
            <w:vAlign w:val="center"/>
          </w:tcPr>
          <w:p w14:paraId="644DA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102,9 </w:t>
            </w:r>
          </w:p>
        </w:tc>
        <w:tc>
          <w:tcPr>
            <w:tcW w:w="1276" w:type="dxa"/>
            <w:vAlign w:val="center"/>
          </w:tcPr>
          <w:p w14:paraId="45049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-3 428,82 </w:t>
            </w:r>
          </w:p>
        </w:tc>
        <w:tc>
          <w:tcPr>
            <w:tcW w:w="1099" w:type="dxa"/>
            <w:vAlign w:val="center"/>
          </w:tcPr>
          <w:p w14:paraId="231E6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- 60,41 </w:t>
            </w:r>
          </w:p>
        </w:tc>
      </w:tr>
      <w:tr w14:paraId="71AE09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C51F2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89497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color w:val="000000"/>
                <w:sz w:val="20"/>
                <w:szCs w:val="20"/>
              </w:rPr>
              <w:t>Всего неналоговые доходы</w:t>
            </w:r>
          </w:p>
          <w:p w14:paraId="092BA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77B0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83 303,00 </w:t>
            </w:r>
          </w:p>
        </w:tc>
        <w:tc>
          <w:tcPr>
            <w:tcW w:w="1276" w:type="dxa"/>
            <w:vAlign w:val="center"/>
          </w:tcPr>
          <w:p w14:paraId="13FAF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134 807,07 </w:t>
            </w:r>
          </w:p>
        </w:tc>
        <w:tc>
          <w:tcPr>
            <w:tcW w:w="992" w:type="dxa"/>
            <w:vAlign w:val="center"/>
          </w:tcPr>
          <w:p w14:paraId="10A9B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161,8 </w:t>
            </w:r>
          </w:p>
        </w:tc>
        <w:tc>
          <w:tcPr>
            <w:tcW w:w="1276" w:type="dxa"/>
            <w:vAlign w:val="center"/>
          </w:tcPr>
          <w:p w14:paraId="72A41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+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22 938,58 </w:t>
            </w:r>
          </w:p>
        </w:tc>
        <w:tc>
          <w:tcPr>
            <w:tcW w:w="1099" w:type="dxa"/>
            <w:vAlign w:val="center"/>
          </w:tcPr>
          <w:p w14:paraId="06393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+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20,50 </w:t>
            </w:r>
          </w:p>
        </w:tc>
      </w:tr>
    </w:tbl>
    <w:p w14:paraId="7A3E05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0479A6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(1 11) </w:t>
      </w:r>
      <w:r>
        <w:rPr>
          <w:rFonts w:ascii="Times New Roman" w:hAnsi="Times New Roman" w:eastAsia="Times New Roman,Bold" w:cs="Times New Roman"/>
          <w:bCs/>
          <w:sz w:val="28"/>
          <w:szCs w:val="28"/>
        </w:rPr>
        <w:t>Доходы от использования имущества</w:t>
      </w:r>
      <w:r>
        <w:rPr>
          <w:rFonts w:ascii="Times New Roman" w:hAnsi="Times New Roman" w:cs="Times New Roman"/>
          <w:sz w:val="28"/>
          <w:szCs w:val="28"/>
        </w:rPr>
        <w:t xml:space="preserve">, находящегося в государственной и муниципальной собственности, поступили в сумме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61 615,59</w:t>
      </w:r>
      <w:r>
        <w:rPr>
          <w:rFonts w:ascii="Times New Roman" w:hAnsi="Times New Roman" w:cs="Times New Roman"/>
          <w:sz w:val="28"/>
          <w:szCs w:val="28"/>
        </w:rPr>
        <w:t xml:space="preserve"> тыс. рублей, </w:t>
      </w:r>
      <w:r>
        <w:rPr>
          <w:rFonts w:ascii="Times New Roman" w:hAnsi="Times New Roman" w:cs="Times New Roman"/>
          <w:iCs/>
          <w:sz w:val="28"/>
          <w:szCs w:val="28"/>
        </w:rPr>
        <w:t>или 14</w:t>
      </w:r>
      <w:r>
        <w:rPr>
          <w:rFonts w:hint="default" w:ascii="Times New Roman" w:hAnsi="Times New Roman" w:cs="Times New Roman"/>
          <w:iCs/>
          <w:sz w:val="28"/>
          <w:szCs w:val="28"/>
          <w:lang w:val="ru-RU"/>
        </w:rPr>
        <w:t>2,9</w:t>
      </w:r>
      <w:r>
        <w:rPr>
          <w:rFonts w:ascii="Times New Roman" w:hAnsi="Times New Roman" w:cs="Times New Roman"/>
          <w:iCs/>
          <w:sz w:val="28"/>
          <w:szCs w:val="28"/>
        </w:rPr>
        <w:t xml:space="preserve"> % от годового плана, на </w:t>
      </w:r>
      <w:r>
        <w:rPr>
          <w:rFonts w:hint="default" w:ascii="Times New Roman" w:hAnsi="Times New Roman" w:cs="Times New Roman"/>
          <w:iCs/>
          <w:sz w:val="28"/>
          <w:szCs w:val="28"/>
          <w:lang w:val="ru-RU"/>
        </w:rPr>
        <w:t>6 376,94</w:t>
      </w:r>
      <w:r>
        <w:rPr>
          <w:rFonts w:ascii="Times New Roman" w:hAnsi="Times New Roman" w:cs="Times New Roman"/>
          <w:iCs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или на 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11,5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% больше поступлений прошлого года.</w:t>
      </w:r>
    </w:p>
    <w:p w14:paraId="3C8071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аибольший объем поступлений по данному виду доходов составили:</w:t>
      </w:r>
    </w:p>
    <w:p w14:paraId="11D46895">
      <w:pPr>
        <w:pStyle w:val="1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участков, в сумме </w:t>
      </w:r>
      <w:r>
        <w:rPr>
          <w:rFonts w:hint="default" w:ascii="Times New Roman" w:hAnsi="Times New Roman"/>
          <w:sz w:val="28"/>
          <w:szCs w:val="28"/>
        </w:rPr>
        <w:t>15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/>
          <w:sz w:val="28"/>
          <w:szCs w:val="28"/>
        </w:rPr>
        <w:t>672</w:t>
      </w:r>
      <w:r>
        <w:rPr>
          <w:rFonts w:hint="default" w:ascii="Times New Roman" w:hAnsi="Times New Roman"/>
          <w:sz w:val="28"/>
          <w:szCs w:val="28"/>
          <w:lang w:val="ru-RU"/>
        </w:rPr>
        <w:t>,</w:t>
      </w:r>
      <w:r>
        <w:rPr>
          <w:rFonts w:hint="default" w:ascii="Times New Roman" w:hAnsi="Times New Roman"/>
          <w:sz w:val="28"/>
          <w:szCs w:val="28"/>
        </w:rPr>
        <w:t>84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рублей;</w:t>
      </w:r>
    </w:p>
    <w:p w14:paraId="0215CD67">
      <w:pPr>
        <w:pStyle w:val="1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Доходы от сдачи в аренду имущества, составляющего муниципальную казну (за исключением земельных участков), в сумме </w:t>
      </w:r>
      <w:r>
        <w:rPr>
          <w:rFonts w:hint="default" w:ascii="Times New Roman" w:hAnsi="Times New Roman"/>
          <w:sz w:val="28"/>
          <w:szCs w:val="28"/>
        </w:rPr>
        <w:t>29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/>
          <w:sz w:val="28"/>
          <w:szCs w:val="28"/>
        </w:rPr>
        <w:t>756</w:t>
      </w:r>
      <w:r>
        <w:rPr>
          <w:rFonts w:hint="default" w:ascii="Times New Roman" w:hAnsi="Times New Roman"/>
          <w:sz w:val="28"/>
          <w:szCs w:val="28"/>
          <w:lang w:val="ru-RU"/>
        </w:rPr>
        <w:t>,34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26F06E03">
      <w:pPr>
        <w:pStyle w:val="12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Прочие поступления от использования имущества, находящегося в муниципальной собственности (за исключением имущества бюджетных и автономных учреждений, а также имущества муниципальных унитарных предприятий, в том числе казённых –  </w:t>
      </w:r>
      <w:r>
        <w:rPr>
          <w:rFonts w:hint="default" w:ascii="Times New Roman" w:hAnsi="Times New Roman"/>
          <w:sz w:val="28"/>
          <w:szCs w:val="28"/>
        </w:rPr>
        <w:t>11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/>
          <w:sz w:val="28"/>
          <w:szCs w:val="28"/>
        </w:rPr>
        <w:t>317</w:t>
      </w:r>
      <w:r>
        <w:rPr>
          <w:rFonts w:hint="default" w:ascii="Times New Roman" w:hAnsi="Times New Roman"/>
          <w:sz w:val="28"/>
          <w:szCs w:val="28"/>
          <w:lang w:val="ru-RU"/>
        </w:rPr>
        <w:t>,29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14:paraId="741D0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(1 12) </w:t>
      </w:r>
      <w:r>
        <w:rPr>
          <w:rFonts w:ascii="Times New Roman" w:hAnsi="Times New Roman" w:eastAsia="Times New Roman,Bold" w:cs="Times New Roman"/>
          <w:bCs/>
          <w:color w:val="000000"/>
          <w:sz w:val="28"/>
          <w:szCs w:val="28"/>
        </w:rPr>
        <w:t xml:space="preserve">Платежи при пользовании природными ресурсами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доход бюджета округа в отчетном году поступили в сумме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4 610,81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 или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81,8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% от годовых назначений, что на </w:t>
      </w:r>
      <w:r>
        <w:rPr>
          <w:rFonts w:hint="default" w:ascii="Times New Roman" w:hAnsi="Times New Roman" w:eastAsia="SimSun" w:cs="Times New Roman"/>
          <w:color w:val="000000"/>
          <w:sz w:val="28"/>
          <w:szCs w:val="28"/>
          <w:lang w:val="ru-RU" w:eastAsia="zh-CN"/>
        </w:rPr>
        <w:t>4 625,75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 или на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50,1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% меньше поступлений прошлого года, из них плата за размещение отходов производства –  </w:t>
      </w:r>
      <w:r>
        <w:rPr>
          <w:rFonts w:hint="default" w:ascii="Times New Roman" w:hAnsi="Times New Roman"/>
          <w:color w:val="000000"/>
          <w:sz w:val="28"/>
          <w:szCs w:val="28"/>
        </w:rPr>
        <w:t>3</w:t>
      </w:r>
      <w:r>
        <w:rPr>
          <w:rFonts w:hint="default"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/>
          <w:color w:val="000000"/>
          <w:sz w:val="28"/>
          <w:szCs w:val="28"/>
        </w:rPr>
        <w:t>743</w:t>
      </w:r>
      <w:r>
        <w:rPr>
          <w:rFonts w:hint="default" w:ascii="Times New Roman" w:hAnsi="Times New Roman"/>
          <w:color w:val="000000"/>
          <w:sz w:val="28"/>
          <w:szCs w:val="28"/>
          <w:lang w:val="ru-RU"/>
        </w:rPr>
        <w:t>,27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 .</w:t>
      </w:r>
    </w:p>
    <w:p w14:paraId="605B5C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(1 13)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доходы от оказания платных услуг (работ) и компенсации затрат государства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поступили в сумме 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21 862,55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рублей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606,7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% от годовых назначений, что на </w:t>
      </w:r>
      <w:r>
        <w:rPr>
          <w:rFonts w:hint="default" w:ascii="Times New Roman" w:hAnsi="Times New Roman" w:eastAsia="SimSun" w:cs="Times New Roman"/>
          <w:color w:val="000000"/>
          <w:sz w:val="28"/>
          <w:szCs w:val="28"/>
          <w:lang w:val="ru-RU" w:eastAsia="zh-CN"/>
        </w:rPr>
        <w:t>17 571,78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 или на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409,5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%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больше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поступлений аналогичного периода прошлого года.</w:t>
      </w:r>
    </w:p>
    <w:p w14:paraId="7A486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Основную долю поступлений по данному виду доходов (9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9,2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%) составили </w:t>
      </w:r>
      <w:r>
        <w:rPr>
          <w:rFonts w:hint="default" w:ascii="Times New Roman" w:hAnsi="Times New Roman"/>
          <w:iCs/>
          <w:color w:val="000000"/>
          <w:sz w:val="28"/>
          <w:szCs w:val="28"/>
        </w:rPr>
        <w:t xml:space="preserve"> </w:t>
      </w:r>
      <w:r>
        <w:rPr>
          <w:rFonts w:hint="default" w:ascii="Times New Roman" w:hAnsi="Times New Roman"/>
          <w:iCs/>
          <w:color w:val="000000"/>
          <w:sz w:val="28"/>
          <w:szCs w:val="28"/>
          <w:lang w:val="ru-RU"/>
        </w:rPr>
        <w:t>п</w:t>
      </w:r>
      <w:r>
        <w:rPr>
          <w:rFonts w:hint="default" w:ascii="Times New Roman" w:hAnsi="Times New Roman"/>
          <w:iCs/>
          <w:color w:val="000000"/>
          <w:sz w:val="28"/>
          <w:szCs w:val="28"/>
        </w:rPr>
        <w:t>рочие доходы от компенсации затрат государства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</w:t>
      </w:r>
    </w:p>
    <w:p w14:paraId="6B6D7A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(1 14)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Доходы от продажи материальных и нематериальных активов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за 202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год исполнены в сумме 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25 855,81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рублей или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21,4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% от годовых назначений, что на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8 427,00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 или на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24,6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%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меньш</w:t>
      </w:r>
      <w:r>
        <w:rPr>
          <w:rFonts w:ascii="Times New Roman" w:hAnsi="Times New Roman" w:cs="Times New Roman"/>
          <w:color w:val="000000"/>
          <w:sz w:val="28"/>
          <w:szCs w:val="28"/>
        </w:rPr>
        <w:t>е поступлений за прошлый год.</w:t>
      </w:r>
    </w:p>
    <w:p w14:paraId="4FC6C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Из них наибольший объем поступлений составили:</w:t>
      </w:r>
    </w:p>
    <w:p w14:paraId="422056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доходы от продажи земельных участков, находящихся в государственной и муниципальной собственности, исполнены в сумме </w:t>
      </w:r>
      <w:r>
        <w:rPr>
          <w:rFonts w:hint="default" w:ascii="Times New Roman" w:hAnsi="Times New Roman"/>
          <w:iCs/>
          <w:color w:val="000000"/>
          <w:sz w:val="28"/>
          <w:szCs w:val="28"/>
        </w:rPr>
        <w:t>8</w:t>
      </w:r>
      <w:r>
        <w:rPr>
          <w:rFonts w:hint="default" w:ascii="Times New Roman" w:hAnsi="Times New Roman"/>
          <w:iCs/>
          <w:color w:val="00000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/>
          <w:iCs/>
          <w:color w:val="000000"/>
          <w:sz w:val="28"/>
          <w:szCs w:val="28"/>
        </w:rPr>
        <w:t>885</w:t>
      </w:r>
      <w:r>
        <w:rPr>
          <w:rFonts w:hint="default" w:ascii="Times New Roman" w:hAnsi="Times New Roman"/>
          <w:iCs/>
          <w:color w:val="000000"/>
          <w:sz w:val="28"/>
          <w:szCs w:val="28"/>
          <w:lang w:val="ru-RU"/>
        </w:rPr>
        <w:t>,65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рублей;</w:t>
      </w:r>
    </w:p>
    <w:p w14:paraId="7957C3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плата за увеличение площади земельных участков, находящихся в частной собственности, в результате перераспределения таких земель, государственная собственность  на которые не разграничена  – </w:t>
      </w:r>
      <w:r>
        <w:rPr>
          <w:rFonts w:hint="default" w:ascii="Times New Roman" w:hAnsi="Times New Roman"/>
          <w:iCs/>
          <w:color w:val="000000"/>
          <w:sz w:val="28"/>
          <w:szCs w:val="28"/>
        </w:rPr>
        <w:t>14</w:t>
      </w:r>
      <w:r>
        <w:rPr>
          <w:rFonts w:hint="default" w:ascii="Times New Roman" w:hAnsi="Times New Roman"/>
          <w:iCs/>
          <w:color w:val="00000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/>
          <w:iCs/>
          <w:color w:val="000000"/>
          <w:sz w:val="28"/>
          <w:szCs w:val="28"/>
        </w:rPr>
        <w:t>005</w:t>
      </w:r>
      <w:r>
        <w:rPr>
          <w:rFonts w:hint="default" w:ascii="Times New Roman" w:hAnsi="Times New Roman"/>
          <w:iCs/>
          <w:color w:val="000000"/>
          <w:sz w:val="28"/>
          <w:szCs w:val="28"/>
          <w:lang w:val="ru-RU"/>
        </w:rPr>
        <w:t>,87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рублей;</w:t>
      </w:r>
    </w:p>
    <w:p w14:paraId="0D9B17C6">
      <w:pPr>
        <w:autoSpaceDE w:val="0"/>
        <w:autoSpaceDN w:val="0"/>
        <w:adjustRightInd w:val="0"/>
        <w:spacing w:after="0" w:line="240" w:lineRule="auto"/>
        <w:ind w:firstLine="658" w:firstLineChars="235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доходы от приватизации имущества, находящегося в собственности муниципальных округов  – </w:t>
      </w:r>
      <w:r>
        <w:rPr>
          <w:rFonts w:hint="default" w:ascii="Times New Roman" w:hAnsi="Times New Roman"/>
          <w:iCs/>
          <w:color w:val="000000"/>
          <w:sz w:val="28"/>
          <w:szCs w:val="28"/>
        </w:rPr>
        <w:t>1</w:t>
      </w:r>
      <w:r>
        <w:rPr>
          <w:rFonts w:hint="default" w:ascii="Times New Roman" w:hAnsi="Times New Roman"/>
          <w:iCs/>
          <w:color w:val="00000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/>
          <w:iCs/>
          <w:color w:val="000000"/>
          <w:sz w:val="28"/>
          <w:szCs w:val="28"/>
        </w:rPr>
        <w:t>088</w:t>
      </w:r>
      <w:r>
        <w:rPr>
          <w:rFonts w:hint="default" w:ascii="Times New Roman" w:hAnsi="Times New Roman"/>
          <w:iCs/>
          <w:color w:val="000000"/>
          <w:sz w:val="28"/>
          <w:szCs w:val="28"/>
          <w:lang w:val="ru-RU"/>
        </w:rPr>
        <w:t xml:space="preserve">,12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тыс. рублей.</w:t>
      </w:r>
    </w:p>
    <w:p w14:paraId="42D8DA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(1 16)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Штрафы, санкции, возмещение ущерба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– исполнение составило 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18 614,89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рублей, или 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249,1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% от годовых назначений, что на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15 471,43</w:t>
      </w:r>
      <w:r>
        <w:rPr>
          <w:rFonts w:ascii="Times New Roman" w:hAnsi="Times New Roman" w:eastAsia="SimSu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тыс. рублей или на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492,2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%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больш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поступлений прошлого года.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Наибольший объем поступлений составили:</w:t>
      </w:r>
    </w:p>
    <w:p w14:paraId="5D87B986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hint="default" w:ascii="Times New Roman" w:hAnsi="Times New Roman"/>
          <w:sz w:val="28"/>
          <w:szCs w:val="28"/>
          <w:lang w:val="ru-RU"/>
        </w:rPr>
        <w:t>ш</w:t>
      </w:r>
      <w:r>
        <w:rPr>
          <w:rFonts w:hint="default" w:ascii="Times New Roman" w:hAnsi="Times New Roman"/>
          <w:sz w:val="28"/>
          <w:szCs w:val="28"/>
        </w:rPr>
        <w:t>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- 11 81561 тыс.рублей;</w:t>
      </w:r>
    </w:p>
    <w:p w14:paraId="2E1204B4">
      <w:pPr>
        <w:autoSpaceDE w:val="0"/>
        <w:autoSpaceDN w:val="0"/>
        <w:adjustRightInd w:val="0"/>
        <w:spacing w:after="0" w:line="240" w:lineRule="auto"/>
        <w:ind w:left="0" w:leftChars="0" w:firstLine="658" w:firstLineChars="235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hint="default" w:ascii="Times New Roman" w:hAnsi="Times New Roman"/>
          <w:sz w:val="28"/>
          <w:szCs w:val="28"/>
          <w:lang w:val="ru-RU"/>
        </w:rPr>
        <w:t>-  платежи, уплачиваемые в целях возмещения вреда - 4 939,52 тыс.рублей;</w:t>
      </w:r>
    </w:p>
    <w:p w14:paraId="0063CBDD">
      <w:pPr>
        <w:autoSpaceDE w:val="0"/>
        <w:autoSpaceDN w:val="0"/>
        <w:adjustRightInd w:val="0"/>
        <w:spacing w:after="0" w:line="240" w:lineRule="auto"/>
        <w:ind w:left="0" w:leftChars="0" w:firstLine="658" w:firstLineChars="2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/>
          <w:sz w:val="28"/>
          <w:szCs w:val="28"/>
        </w:rPr>
        <w:t xml:space="preserve">  </w:t>
      </w:r>
      <w:r>
        <w:rPr>
          <w:rFonts w:hint="default" w:ascii="Times New Roman" w:hAnsi="Times New Roman"/>
          <w:sz w:val="28"/>
          <w:szCs w:val="28"/>
          <w:lang w:val="ru-RU"/>
        </w:rPr>
        <w:t>а</w:t>
      </w:r>
      <w:r>
        <w:rPr>
          <w:rFonts w:hint="default" w:ascii="Times New Roman" w:hAnsi="Times New Roman"/>
          <w:sz w:val="28"/>
          <w:szCs w:val="28"/>
        </w:rPr>
        <w:t>дминистративные штрафы, установленные Кодексом Российской Федерации об 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 xml:space="preserve"> в сумме </w:t>
      </w:r>
      <w:r>
        <w:rPr>
          <w:rFonts w:hint="default" w:ascii="Times New Roman" w:hAnsi="Times New Roman"/>
          <w:sz w:val="28"/>
          <w:szCs w:val="28"/>
        </w:rPr>
        <w:t>1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/>
          <w:sz w:val="28"/>
          <w:szCs w:val="28"/>
        </w:rPr>
        <w:t>381</w:t>
      </w:r>
      <w:r>
        <w:rPr>
          <w:rFonts w:hint="default" w:ascii="Times New Roman" w:hAnsi="Times New Roman"/>
          <w:sz w:val="28"/>
          <w:szCs w:val="28"/>
          <w:lang w:val="ru-RU"/>
        </w:rPr>
        <w:t>,40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57829C41">
      <w:pPr>
        <w:autoSpaceDE w:val="0"/>
        <w:autoSpaceDN w:val="0"/>
        <w:adjustRightInd w:val="0"/>
        <w:spacing w:after="0" w:line="240" w:lineRule="auto"/>
        <w:ind w:left="0" w:leftChars="0" w:firstLine="658" w:firstLineChars="235"/>
        <w:jc w:val="both"/>
        <w:rPr>
          <w:rFonts w:hint="default" w:ascii="Times New Roman" w:hAnsi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hint="default" w:ascii="Times New Roman" w:hAnsi="Times New Roman"/>
          <w:sz w:val="28"/>
          <w:szCs w:val="28"/>
        </w:rPr>
        <w:t xml:space="preserve"> </w:t>
      </w:r>
      <w:r>
        <w:rPr>
          <w:rFonts w:hint="default" w:ascii="Times New Roman" w:hAnsi="Times New Roman"/>
          <w:sz w:val="28"/>
          <w:szCs w:val="28"/>
          <w:lang w:val="ru-RU"/>
        </w:rPr>
        <w:t>д</w:t>
      </w:r>
      <w:r>
        <w:rPr>
          <w:rFonts w:hint="default" w:ascii="Times New Roman" w:hAnsi="Times New Roman"/>
          <w:sz w:val="28"/>
          <w:szCs w:val="28"/>
        </w:rPr>
        <w:t>енежные средства, изымаемые в собственность Российской Федерации, субъекта Российской Федерации, муниципального образования в соответствии с решениями судов (за исключением обвинительных приговоров и постановлений судов, вынесенных при производстве по уголовным делам)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>- 282,59 тыс.рублей;</w:t>
      </w:r>
    </w:p>
    <w:p w14:paraId="7C65B69C">
      <w:pPr>
        <w:autoSpaceDE w:val="0"/>
        <w:autoSpaceDN w:val="0"/>
        <w:adjustRightInd w:val="0"/>
        <w:spacing w:after="0" w:line="240" w:lineRule="auto"/>
        <w:ind w:left="0" w:leftChars="0" w:firstLine="658" w:firstLineChars="235"/>
        <w:jc w:val="both"/>
        <w:rPr>
          <w:rFonts w:hint="default" w:ascii="Times New Roman" w:hAnsi="Times New Roman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>- платежи в целях возмещения причиненного ущерба (убытков) - 159,28 тыс.рублей;</w:t>
      </w:r>
    </w:p>
    <w:p w14:paraId="6904BFFB">
      <w:pPr>
        <w:autoSpaceDE w:val="0"/>
        <w:autoSpaceDN w:val="0"/>
        <w:adjustRightInd w:val="0"/>
        <w:spacing w:after="0" w:line="240" w:lineRule="auto"/>
        <w:ind w:firstLine="708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>-   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 - 114,06 тыс.рублей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8ABE4D">
      <w:pPr>
        <w:autoSpaceDE w:val="0"/>
        <w:autoSpaceDN w:val="0"/>
        <w:adjustRightInd w:val="0"/>
        <w:spacing w:after="0" w:line="240" w:lineRule="auto"/>
        <w:ind w:firstLine="700" w:firstLineChars="2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(1 17)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Прочие неналоговые доходы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поступили в сумме 5 676,24 тыс. рублей, или </w:t>
      </w:r>
      <w:r>
        <w:rPr>
          <w:rFonts w:ascii="Times New Roman" w:hAnsi="Times New Roman" w:cs="Times New Roman"/>
          <w:color w:val="000000"/>
          <w:sz w:val="28"/>
          <w:szCs w:val="28"/>
        </w:rPr>
        <w:t>124,4 % от годовых назначений, что на 1 128,06</w:t>
      </w:r>
      <w:r>
        <w:rPr>
          <w:rFonts w:ascii="Times New Roman" w:hAnsi="Times New Roman" w:eastAsia="SimSu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тыс. рублей или на 24,8 % больше поступлений прошлого года.</w:t>
      </w:r>
    </w:p>
    <w:p w14:paraId="5963FB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eastAsia="Times New Roman,Bold" w:cs="Times New Roman,Bold"/>
          <w:bCs/>
          <w:iCs/>
          <w:color w:val="000000"/>
          <w:sz w:val="27"/>
          <w:szCs w:val="27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План </w:t>
      </w:r>
      <w:r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</w:rPr>
        <w:t>по безвозмездным поступлениям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на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(группа 2 доходов бюджета), первоначально утвержденный решением о бюджете в сумме 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2 275 396,50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рублей, в отчетном периоде увеличен на 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818 657,45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рублей и на 01.01.202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 xml:space="preserve">6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составил </w:t>
      </w:r>
      <w:r>
        <w:rPr>
          <w:rFonts w:hint="default" w:ascii="Times New Roman" w:hAnsi="Times New Roman"/>
          <w:bCs/>
          <w:sz w:val="28"/>
          <w:szCs w:val="28"/>
        </w:rPr>
        <w:t>3</w:t>
      </w:r>
      <w:r>
        <w:rPr>
          <w:rFonts w:hint="default" w:ascii="Times New Roman" w:hAnsi="Times New Roman"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/>
          <w:bCs/>
          <w:sz w:val="28"/>
          <w:szCs w:val="28"/>
        </w:rPr>
        <w:t>094</w:t>
      </w:r>
      <w:r>
        <w:rPr>
          <w:rFonts w:hint="default" w:ascii="Times New Roman" w:hAnsi="Times New Roman"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/>
          <w:bCs/>
          <w:sz w:val="28"/>
          <w:szCs w:val="28"/>
        </w:rPr>
        <w:t>053</w:t>
      </w:r>
      <w:r>
        <w:rPr>
          <w:rFonts w:hint="default" w:ascii="Times New Roman" w:hAnsi="Times New Roman"/>
          <w:bCs/>
          <w:sz w:val="28"/>
          <w:szCs w:val="28"/>
          <w:lang w:val="ru-RU"/>
        </w:rPr>
        <w:t>,</w:t>
      </w:r>
      <w:r>
        <w:rPr>
          <w:rFonts w:hint="default" w:ascii="Times New Roman" w:hAnsi="Times New Roman"/>
          <w:bCs/>
          <w:sz w:val="28"/>
          <w:szCs w:val="28"/>
        </w:rPr>
        <w:t>95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тыс. рублей.</w:t>
      </w:r>
    </w:p>
    <w:p w14:paraId="4D6AB2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Доходы по видам безвозмездных поступлений представлены в таблице:</w:t>
      </w:r>
    </w:p>
    <w:p w14:paraId="37E280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Cs/>
          <w:color w:val="000000"/>
          <w:sz w:val="20"/>
          <w:szCs w:val="20"/>
        </w:rPr>
        <w:t>Таблица № 8</w:t>
      </w:r>
    </w:p>
    <w:tbl>
      <w:tblPr>
        <w:tblStyle w:val="4"/>
        <w:tblW w:w="9349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2551"/>
        <w:gridCol w:w="1418"/>
        <w:gridCol w:w="1276"/>
        <w:gridCol w:w="708"/>
        <w:gridCol w:w="1418"/>
        <w:gridCol w:w="1112"/>
      </w:tblGrid>
      <w:tr w14:paraId="6E7E8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86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28F69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Группы/подгруппы</w:t>
            </w:r>
          </w:p>
        </w:tc>
        <w:tc>
          <w:tcPr>
            <w:tcW w:w="255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2DF4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41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0AAD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Утверждено на 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98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8F27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Кассовое исполнение </w:t>
            </w:r>
          </w:p>
          <w:p w14:paraId="2104F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за 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253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25FC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Отклонение к 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  <w:lang w:val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 году</w:t>
            </w:r>
          </w:p>
        </w:tc>
      </w:tr>
      <w:tr w14:paraId="1541E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86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101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E26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0A31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6A714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в тыс. рублей</w:t>
            </w:r>
          </w:p>
        </w:tc>
        <w:tc>
          <w:tcPr>
            <w:tcW w:w="70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FBCA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в %</w:t>
            </w:r>
          </w:p>
        </w:tc>
        <w:tc>
          <w:tcPr>
            <w:tcW w:w="141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74C38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в тыс. рублей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9FA13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в %</w:t>
            </w:r>
          </w:p>
        </w:tc>
      </w:tr>
      <w:tr w14:paraId="73389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86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F4F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3858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394B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71B5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42F1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95B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D1D1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</w:p>
        </w:tc>
      </w:tr>
      <w:tr w14:paraId="372A5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1FA5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2 02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8231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Федерации, в т.ч.: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5D5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093 594,13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466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998 415,16 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04A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96,9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9DB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546 947,75 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BD4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22,3 </w:t>
            </w:r>
          </w:p>
        </w:tc>
      </w:tr>
      <w:tr w14:paraId="7C964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0FE6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BB5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Дотации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BD7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565 385,14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8F9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510 743,27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92A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90,3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7A3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26 989,17 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F5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5,6 </w:t>
            </w:r>
          </w:p>
        </w:tc>
      </w:tr>
      <w:tr w14:paraId="6EC795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0FD0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B779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3B3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091 579,95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EF2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081 862,43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FD1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99,1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DC0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524 267,34 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02D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94,0 </w:t>
            </w:r>
          </w:p>
        </w:tc>
      </w:tr>
      <w:tr w14:paraId="1FF93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8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79CF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DD0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 xml:space="preserve">Субвенции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3B8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348 550,23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AC0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317 730,65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C57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97,7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DFC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-22 454,45 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5C4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- 1,7 </w:t>
            </w:r>
          </w:p>
        </w:tc>
      </w:tr>
      <w:tr w14:paraId="10225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EFC7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1862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844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88 078,81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967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88 078,81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9AC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9F9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18 145,69 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557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25,9 </w:t>
            </w:r>
          </w:p>
        </w:tc>
      </w:tr>
      <w:tr w14:paraId="41DFB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3AF5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2 07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F04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B86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2 350,78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B7F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2 350,78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EC6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00,0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741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269,47 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719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12,9 </w:t>
            </w:r>
          </w:p>
        </w:tc>
      </w:tr>
      <w:tr w14:paraId="44606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AE8F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2 18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6BF0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Доходы бюджетов бюджетной системы РФ от возврата бюджетами бюджетной системы РФ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FF7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3 811,17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D29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4 138,03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F21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108,6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901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-3 229,08 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44B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- 43,8 </w:t>
            </w:r>
          </w:p>
        </w:tc>
      </w:tr>
      <w:tr w14:paraId="06C8F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080E85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B60C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ИТОГО БЕЗВОЗМЕЗДНЫЕ ПОСТУПЛЕНИЯ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71F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099 756,08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0AD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004 903,97 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295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96,9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3A6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543 988,14 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897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22,1 </w:t>
            </w:r>
          </w:p>
        </w:tc>
      </w:tr>
      <w:tr w14:paraId="0A98B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8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ED2AB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2 19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A3DE8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B65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-5702,13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DBE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-5702,13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E63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100,0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676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7 596,29 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EC1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- 57,1 </w:t>
            </w:r>
          </w:p>
        </w:tc>
      </w:tr>
      <w:tr w14:paraId="77A155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3C2C3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59413D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0"/>
                <w:szCs w:val="20"/>
              </w:rPr>
              <w:t>ВСЕГО БЕЗВОЗМЕЗДНЫЕ ПОСТУПЛЕНИЯ с учетом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D6F9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053,95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5B4D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201,84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5D08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96,9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2F6E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551 584,43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4CEB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top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22,5</w:t>
            </w:r>
          </w:p>
        </w:tc>
      </w:tr>
    </w:tbl>
    <w:p w14:paraId="53C56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В рамках безвозмездных поступлений от других бюджетов бюджетной системы Российской Федерации (2 02 00000) в бюджет округа поступили:</w:t>
      </w:r>
    </w:p>
    <w:p w14:paraId="302033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дотации (2 02 10000) в сумме </w:t>
      </w:r>
      <w:r>
        <w:rPr>
          <w:rFonts w:hint="default" w:ascii="Times New Roman" w:hAnsi="Times New Roman" w:eastAsia="SimSun" w:cs="Times New Roman"/>
          <w:color w:val="000000"/>
          <w:sz w:val="28"/>
          <w:szCs w:val="28"/>
          <w:lang w:val="ru-RU" w:eastAsia="zh-CN"/>
        </w:rPr>
        <w:t>510 743,27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рублей (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90,3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% от плановых назначений);</w:t>
      </w:r>
    </w:p>
    <w:p w14:paraId="2466EE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субсидии (2 02 20000) в сумме </w:t>
      </w:r>
      <w:r>
        <w:rPr>
          <w:rFonts w:hint="default" w:ascii="Times New Roman" w:hAnsi="Times New Roman" w:eastAsia="SimSun" w:cs="Times New Roman"/>
          <w:color w:val="000000"/>
          <w:sz w:val="28"/>
          <w:szCs w:val="28"/>
          <w:lang w:val="ru-RU" w:eastAsia="zh-CN"/>
        </w:rPr>
        <w:t>1 081 862,43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рублей (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99,1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% от плановых значений);</w:t>
      </w:r>
    </w:p>
    <w:p w14:paraId="3A34D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субвенции (2 02 30000) в сумме </w:t>
      </w:r>
      <w:r>
        <w:rPr>
          <w:rFonts w:hint="default" w:ascii="Times New Roman" w:hAnsi="Times New Roman" w:eastAsia="SimSun" w:cs="Times New Roman"/>
          <w:color w:val="000000"/>
          <w:sz w:val="28"/>
          <w:szCs w:val="28"/>
          <w:lang w:val="ru-RU" w:eastAsia="zh-CN"/>
        </w:rPr>
        <w:t>1 317 730,65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рублей (9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7,7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% от плановых назначений); </w:t>
      </w:r>
    </w:p>
    <w:p w14:paraId="3B1EDB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иные межбюджетные трансферты (2 02 40000) в сумме </w:t>
      </w:r>
      <w:r>
        <w:rPr>
          <w:rFonts w:hint="default" w:ascii="Times New Roman" w:hAnsi="Times New Roman" w:eastAsia="SimSun" w:cs="Times New Roman"/>
          <w:color w:val="000000"/>
          <w:sz w:val="28"/>
          <w:szCs w:val="28"/>
          <w:lang w:val="ru-RU" w:eastAsia="zh-CN"/>
        </w:rPr>
        <w:t>88 078,81</w:t>
      </w:r>
      <w:r>
        <w:rPr>
          <w:rFonts w:ascii="Times New Roman" w:hAnsi="Times New Roman" w:eastAsia="SimSun" w:cs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тыс. рублей (100 % от плановых назначений). </w:t>
      </w:r>
    </w:p>
    <w:p w14:paraId="01F7B0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,Bold" w:cs="Times New Roman"/>
          <w:b/>
          <w:bCs/>
          <w:iCs/>
          <w:color w:val="000000"/>
          <w:sz w:val="28"/>
          <w:szCs w:val="28"/>
        </w:rPr>
      </w:pPr>
    </w:p>
    <w:p w14:paraId="3A6F82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,Bold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/>
          <w:bCs/>
          <w:iCs/>
          <w:color w:val="000000"/>
          <w:sz w:val="28"/>
          <w:szCs w:val="28"/>
        </w:rPr>
        <w:t>6. Расходы</w:t>
      </w:r>
    </w:p>
    <w:p w14:paraId="7F051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На основании изменений в решение о бюджете и в бюджетную роспись уточненный план расходов бюджета округа на 202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год составил </w:t>
      </w:r>
      <w:r>
        <w:rPr>
          <w:rFonts w:hint="default" w:ascii="Times New Roman" w:hAnsi="Times New Roman" w:cs="Times New Roman"/>
          <w:bCs/>
          <w:color w:val="000000"/>
          <w:sz w:val="28"/>
          <w:szCs w:val="28"/>
          <w:lang w:val="ru-RU"/>
        </w:rPr>
        <w:t>4 414 744,30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тыс. рублей, увеличен на 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728 203,89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рублей или на 1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,7 % по сравнению с первоначально утвержденным.</w:t>
      </w:r>
    </w:p>
    <w:p w14:paraId="7E571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Расходы бюджета округа в 202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году исполнены в сумме 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4 327 605,47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рублей, на уровне 9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8,0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% от уточненного годового плана, с увеличением на 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855 052,57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рублей к уровню исполнения расходов в 202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году.</w:t>
      </w:r>
    </w:p>
    <w:p w14:paraId="68F81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Достаточно сбалансированное исполнение расходов в значительной мере обусловлено своевременной корректировкой плановых назначений в течение 202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года, в том числе с учетом фактического исполнения расходов бюджета.</w:t>
      </w:r>
    </w:p>
    <w:p w14:paraId="4456B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Расходы бюджета округа были направлены на реализацию муниципальных программ (96,6 % от кассовых расходов) и непрограммных мероприятий (3,4 %).</w:t>
      </w:r>
    </w:p>
    <w:p w14:paraId="4F5A7B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На конец отчетного периода не были исполнены запланированные ассигнования в общей сумме 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87 138,83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рублей. Остаток неисполненных ассигнований по программным расходам составил 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85 262,06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рублей, по непрограммным – 1 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876,77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тыс. рублей. </w:t>
      </w:r>
    </w:p>
    <w:p w14:paraId="227C81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Согласно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ведомственной структуре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расходов бюджета округа ассигнования на 202</w:t>
      </w:r>
      <w:r>
        <w:rPr>
          <w:rFonts w:hint="default" w:ascii="Times New Roman" w:hAnsi="Times New Roman" w:cs="Times New Roman"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год утверждены 12 главным распорядителям средств бюджета округа.</w:t>
      </w:r>
    </w:p>
    <w:p w14:paraId="64750C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Информация об исполнении расходов главными распорядителями средств представлена в таблице.</w:t>
      </w:r>
    </w:p>
    <w:p w14:paraId="6E0EE9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Cs/>
          <w:color w:val="000000"/>
          <w:sz w:val="20"/>
          <w:szCs w:val="20"/>
        </w:rPr>
        <w:t>Таблица № 9</w:t>
      </w:r>
    </w:p>
    <w:tbl>
      <w:tblPr>
        <w:tblStyle w:val="4"/>
        <w:tblW w:w="936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4"/>
        <w:gridCol w:w="709"/>
        <w:gridCol w:w="1303"/>
        <w:gridCol w:w="1106"/>
        <w:gridCol w:w="1348"/>
        <w:gridCol w:w="805"/>
        <w:gridCol w:w="966"/>
      </w:tblGrid>
      <w:tr w14:paraId="5A7F1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0E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Style w:val="18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Наименование ГРБС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28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Style w:val="18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код ведомства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DE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Утверждено на 2025 год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95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Исполнение за 2025 год</w:t>
            </w:r>
          </w:p>
        </w:tc>
      </w:tr>
      <w:tr w14:paraId="3B7D7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972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7E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75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Style w:val="18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ассигнования </w:t>
            </w:r>
            <w:r>
              <w:rPr>
                <w:rStyle w:val="19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тыс. рублей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23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Style w:val="18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доля в общей сумме ассигнований, %</w:t>
            </w: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23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Style w:val="18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кассовые расходы, </w:t>
            </w:r>
            <w:r>
              <w:rPr>
                <w:rStyle w:val="19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тыс. рублей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A8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Style w:val="18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% от ассигнований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93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Style w:val="18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% в общей сумме кассовых расходов %</w:t>
            </w:r>
          </w:p>
        </w:tc>
      </w:tr>
      <w:tr w14:paraId="162B5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1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C01B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bookmarkStart w:id="0" w:name="RANGE!A11:I17"/>
            <w:bookmarkEnd w:id="0"/>
            <w:r>
              <w:rPr>
                <w:rStyle w:val="18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Финансовое управление администрации Богородского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090B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00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DA6F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44 809,54 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4770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1,0 </w:t>
            </w: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AF67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43 306,88 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BEE7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96,6 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797B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1,0 </w:t>
            </w:r>
          </w:p>
        </w:tc>
      </w:tr>
      <w:tr w14:paraId="68DB7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31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386E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Style w:val="19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Управление по физической культуре и спорту администрации Богородского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8020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00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44A2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135 847,51 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5565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3,1 </w:t>
            </w: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8CA0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135 633,87 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C374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99,8 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E393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3,1 </w:t>
            </w:r>
          </w:p>
        </w:tc>
      </w:tr>
      <w:tr w14:paraId="71B59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31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3C8B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Style w:val="18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Управление образования и молодежной политики администрации Богородского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0BF0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00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A246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846 794,05 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D911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41,8 </w:t>
            </w: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9850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810 359,40 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57AA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98,0 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F808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41,8 </w:t>
            </w:r>
          </w:p>
        </w:tc>
      </w:tr>
      <w:tr w14:paraId="46CEA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1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1A39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Style w:val="18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Управление культуры администрации Богородского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326E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00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36CD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235 259,36 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7E2C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5,3 </w:t>
            </w: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DA1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235 239,29 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10FF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 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88B5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5,4 </w:t>
            </w:r>
          </w:p>
        </w:tc>
      </w:tr>
      <w:tr w14:paraId="74598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1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4A54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Style w:val="18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Совет депутатов Богородского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5791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00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14EC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5 517,61 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B44A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0,1 </w:t>
            </w: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6350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5 517,60 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F557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 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D37D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0,1 </w:t>
            </w:r>
          </w:p>
        </w:tc>
      </w:tr>
      <w:tr w14:paraId="7A530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31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D2B7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Style w:val="18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Управление сельского хозяйства администрации Богородского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F716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00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D5EC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106 260,66 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3204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2,4 </w:t>
            </w: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CA41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105 528,10 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3382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99,3 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75F8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2,4 </w:t>
            </w:r>
          </w:p>
        </w:tc>
      </w:tr>
      <w:tr w14:paraId="49032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1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9E26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Style w:val="18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Управление капитального строительства и градостроительной деятельности администрации Богородского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7EA7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00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171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769 497,71 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BD2C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17,4 </w:t>
            </w: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BB04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740 596,05 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7E20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96,2 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6385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17,1 </w:t>
            </w:r>
          </w:p>
        </w:tc>
      </w:tr>
      <w:tr w14:paraId="54479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1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8278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Style w:val="18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Комитет имущественных и земельных отношений, учета и распределения жилья администрации Богородского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DF98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00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702D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431 442,86 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349D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9,8 </w:t>
            </w: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0B7A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427 439,99 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ED3D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99,1 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02BB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9,9 </w:t>
            </w:r>
          </w:p>
        </w:tc>
      </w:tr>
      <w:tr w14:paraId="7D26A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1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FF7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Style w:val="18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Администрация Богородского 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6D77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010</w:t>
            </w:r>
          </w:p>
        </w:tc>
        <w:tc>
          <w:tcPr>
            <w:tcW w:w="1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8F00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252 709,74 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E8ED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5,7 </w:t>
            </w: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C446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250 288,16 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C62F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99,0 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1996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5,8 </w:t>
            </w:r>
          </w:p>
        </w:tc>
      </w:tr>
      <w:tr w14:paraId="4C3B8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31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74E2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Управление благоустройства и дорожной деятельности администрации Богородского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91DF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4483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509 479,19 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77D4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11,5 </w:t>
            </w: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7D1C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496 577,63 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0D24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97,5 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AE91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11,5 </w:t>
            </w:r>
          </w:p>
        </w:tc>
      </w:tr>
      <w:tr w14:paraId="65A69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1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62D6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Style w:val="18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Контрольно-счетная комиссия Богородского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45A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290F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3 428,76 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9ED7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0,1 </w:t>
            </w: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F4CA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3 428,72 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A33F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 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0E6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0,1 </w:t>
            </w:r>
          </w:p>
        </w:tc>
      </w:tr>
      <w:tr w14:paraId="736E2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1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5718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Style w:val="18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Управление жилищно-коммунального хозяйства и экологии администрации Богородского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CA9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8D3C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73 697,30 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ED4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1,7 </w:t>
            </w: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3A2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73 689,77 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FEE7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 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DF90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1,7 </w:t>
            </w:r>
          </w:p>
        </w:tc>
      </w:tr>
      <w:tr w14:paraId="1195A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1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2C8C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bottom"/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20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8FB1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00F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414 744,30 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D3A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 </w:t>
            </w: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159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327 605,47 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0FD9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right"/>
              <w:textAlignment w:val="bottom"/>
              <w:rPr>
                <w:rFonts w:hint="default" w:ascii="Times New Roman" w:hAnsi="Times New Roman" w:eastAsia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98,0</w:t>
            </w:r>
          </w:p>
        </w:tc>
        <w:tc>
          <w:tcPr>
            <w:tcW w:w="9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08E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 </w:t>
            </w:r>
          </w:p>
        </w:tc>
      </w:tr>
    </w:tbl>
    <w:p w14:paraId="4E0B4F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highlight w:val="none"/>
        </w:rPr>
        <w:tab/>
      </w:r>
      <w:r>
        <w:rPr>
          <w:rFonts w:ascii="Times New Roman" w:hAnsi="Times New Roman" w:cs="Times New Roman"/>
          <w:iCs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iCs/>
          <w:color w:val="auto"/>
          <w:sz w:val="28"/>
          <w:szCs w:val="28"/>
          <w:highlight w:val="none"/>
        </w:rPr>
        <w:t xml:space="preserve">Анализ исполнения расходов бюджета округа </w:t>
      </w:r>
      <w:r>
        <w:rPr>
          <w:rFonts w:ascii="Times New Roman" w:hAnsi="Times New Roman" w:eastAsia="Times New Roman,Bold" w:cs="Times New Roman"/>
          <w:bCs/>
          <w:iCs/>
          <w:color w:val="auto"/>
          <w:sz w:val="28"/>
          <w:szCs w:val="28"/>
          <w:highlight w:val="none"/>
        </w:rPr>
        <w:t>в разрезе разделов классификации расходов бюджетов показал следующее.</w:t>
      </w:r>
    </w:p>
    <w:p w14:paraId="2A6E94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,Bold" w:cs="Times New Roman"/>
          <w:bCs/>
          <w:iCs/>
          <w:color w:val="auto"/>
          <w:sz w:val="20"/>
          <w:szCs w:val="20"/>
          <w:highlight w:val="none"/>
        </w:rPr>
      </w:pPr>
      <w:r>
        <w:rPr>
          <w:rFonts w:ascii="Times New Roman" w:hAnsi="Times New Roman" w:eastAsia="Times New Roman,Bold" w:cs="Times New Roman"/>
          <w:bCs/>
          <w:iCs/>
          <w:color w:val="auto"/>
          <w:sz w:val="20"/>
          <w:szCs w:val="20"/>
          <w:highlight w:val="none"/>
        </w:rPr>
        <w:t>Диаграмма 1</w:t>
      </w:r>
    </w:p>
    <w:p w14:paraId="5C26F9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,Bold" w:cs="Times New Roman"/>
          <w:bCs/>
          <w:iCs/>
          <w:color w:val="auto"/>
          <w:sz w:val="20"/>
          <w:szCs w:val="20"/>
          <w:highlight w:val="yellow"/>
        </w:rPr>
      </w:pPr>
    </w:p>
    <w:p w14:paraId="029450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</w:pPr>
      <w:r>
        <w:drawing>
          <wp:inline distT="0" distB="0" distL="114300" distR="114300">
            <wp:extent cx="5933440" cy="3013075"/>
            <wp:effectExtent l="4445" t="4445" r="5715" b="1143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291A39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</w:pPr>
    </w:p>
    <w:p w14:paraId="6E6F1B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Наибольшую долю в общем объеме расходов бюджета округа в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5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году составили расходы по разделу 07 «Образование» (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45,3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%), 04 «Национальная экономия» (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9,2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%) и 05 «Жилищно-коммунальное хозяйство» (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28,3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%). </w:t>
      </w:r>
    </w:p>
    <w:p w14:paraId="1569DB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Меньше 1 % занимают расходы по разделам классификации расходов бюджета:</w:t>
      </w:r>
    </w:p>
    <w:p w14:paraId="0F355F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- 02 «Национальная оборона» -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менее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0,1 %;</w:t>
      </w:r>
    </w:p>
    <w:p w14:paraId="0739E0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- 06 «Охрана окружающей среды» - менее 0,1 %</w:t>
      </w:r>
    </w:p>
    <w:p w14:paraId="4C0E1615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</w:pP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- 09 «Здравоохранение» - 0,3 %</w:t>
      </w:r>
    </w:p>
    <w:p w14:paraId="5B38B6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- 12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 «Средства массовой информации» - 0,2 %.</w:t>
      </w:r>
    </w:p>
    <w:p w14:paraId="17B792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</w:pPr>
    </w:p>
    <w:p w14:paraId="6AF58B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,Bold" w:cs="Times New Roman"/>
          <w:b/>
          <w:bCs/>
          <w:i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,Bold" w:cs="Times New Roman"/>
          <w:b/>
          <w:bCs/>
          <w:iCs/>
          <w:color w:val="000000"/>
          <w:sz w:val="28"/>
          <w:szCs w:val="28"/>
          <w:highlight w:val="none"/>
        </w:rPr>
        <w:t>6.1. Исполнение расходов в рамках национальных проектов</w:t>
      </w:r>
    </w:p>
    <w:p w14:paraId="740382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,Bold" w:cs="Times New Roman"/>
          <w:b/>
          <w:bCs/>
          <w:iCs/>
          <w:color w:val="000000"/>
          <w:sz w:val="28"/>
          <w:szCs w:val="28"/>
          <w:highlight w:val="none"/>
        </w:rPr>
      </w:pPr>
    </w:p>
    <w:p w14:paraId="7B1E36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ab/>
      </w:r>
      <w:r>
        <w:rPr>
          <w:rFonts w:hint="default" w:ascii="Times New Roman" w:hAnsi="Times New Roman" w:eastAsia="DejaVu Serif" w:cs="Times New Roman"/>
          <w:b w:val="0"/>
          <w:i w:val="0"/>
          <w:color w:val="000000"/>
          <w:sz w:val="28"/>
          <w:szCs w:val="28"/>
        </w:rPr>
        <w:t> В соответствии с Указом Президента России от 7 мая 2024 года № 309 «О национальных целях развития Российской Федерации на период до 2030 года и на перспективу до 2036 года»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 в Богородском муниципальном округе были реализованы мероприятия в рамках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 xml:space="preserve">4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национальных проектов.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На реализацию национальных проектов в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году предусмотрено в бюджете округа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981 889,22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тыс. рублей, кассовые расходы составили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981 889,22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тыс. рублей (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22,7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 расходов бюджета округа), в том числе за счет средств областного бюджета –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45,7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%, за счет средств федерального бюджета –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48,8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%, за счет средств бюджета округа  –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5,5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%. </w:t>
      </w:r>
    </w:p>
    <w:p w14:paraId="4A3101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>Фактический уровень исполнения плановых назначений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 года в части финансирования национальных проектов составил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100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 %.</w:t>
      </w:r>
    </w:p>
    <w:p w14:paraId="767E8F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  <w:highlight w:val="none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  <w:highlight w:val="none"/>
        </w:rPr>
        <w:t>Таблица № 10</w:t>
      </w:r>
    </w:p>
    <w:tbl>
      <w:tblPr>
        <w:tblStyle w:val="10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3291"/>
        <w:gridCol w:w="1913"/>
        <w:gridCol w:w="1913"/>
        <w:gridCol w:w="1914"/>
      </w:tblGrid>
      <w:tr w14:paraId="2A98F7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56DEA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№ п/п</w:t>
            </w:r>
          </w:p>
          <w:p w14:paraId="40DB5B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291" w:type="dxa"/>
          </w:tcPr>
          <w:p w14:paraId="766D7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Национальный проект (КЦСР)</w:t>
            </w:r>
          </w:p>
        </w:tc>
        <w:tc>
          <w:tcPr>
            <w:tcW w:w="1913" w:type="dxa"/>
          </w:tcPr>
          <w:p w14:paraId="325B43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Уточненный план</w:t>
            </w:r>
          </w:p>
          <w:p w14:paraId="10E25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на 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 xml:space="preserve"> год</w:t>
            </w:r>
          </w:p>
          <w:p w14:paraId="7CDF6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тыс. рублей</w:t>
            </w:r>
          </w:p>
          <w:p w14:paraId="0FB38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913" w:type="dxa"/>
          </w:tcPr>
          <w:p w14:paraId="054049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Исполнено</w:t>
            </w:r>
          </w:p>
          <w:p w14:paraId="176D43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за 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 xml:space="preserve"> год</w:t>
            </w:r>
          </w:p>
          <w:p w14:paraId="688F2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тыс. рублей</w:t>
            </w:r>
          </w:p>
          <w:p w14:paraId="13A7F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914" w:type="dxa"/>
          </w:tcPr>
          <w:p w14:paraId="1C751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% исполнения к годовым назначениям</w:t>
            </w:r>
          </w:p>
          <w:p w14:paraId="01351E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</w:p>
        </w:tc>
      </w:tr>
      <w:tr w14:paraId="177CF4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7159847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1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.</w:t>
            </w:r>
          </w:p>
        </w:tc>
        <w:tc>
          <w:tcPr>
            <w:tcW w:w="3291" w:type="dxa"/>
          </w:tcPr>
          <w:p w14:paraId="0081FE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Молодежь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 xml:space="preserve"> и дети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 xml:space="preserve"> (00 0 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Ю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0 00000)</w:t>
            </w:r>
          </w:p>
          <w:p w14:paraId="4C1E18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913" w:type="dxa"/>
          </w:tcPr>
          <w:p w14:paraId="7F2D8E2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123 210,14</w:t>
            </w:r>
          </w:p>
        </w:tc>
        <w:tc>
          <w:tcPr>
            <w:tcW w:w="1913" w:type="dxa"/>
          </w:tcPr>
          <w:p w14:paraId="5C32CB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123 210,14</w:t>
            </w:r>
          </w:p>
        </w:tc>
        <w:tc>
          <w:tcPr>
            <w:tcW w:w="1914" w:type="dxa"/>
          </w:tcPr>
          <w:p w14:paraId="7CFBE8B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100,0</w:t>
            </w:r>
          </w:p>
        </w:tc>
      </w:tr>
      <w:tr w14:paraId="708040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03742CE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.</w:t>
            </w:r>
          </w:p>
        </w:tc>
        <w:tc>
          <w:tcPr>
            <w:tcW w:w="3291" w:type="dxa"/>
          </w:tcPr>
          <w:p w14:paraId="7D2389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Семья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 xml:space="preserve"> (00 0 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Я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0 00000)</w:t>
            </w:r>
          </w:p>
        </w:tc>
        <w:tc>
          <w:tcPr>
            <w:tcW w:w="1913" w:type="dxa"/>
          </w:tcPr>
          <w:p w14:paraId="75D72AA3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12 456,87</w:t>
            </w:r>
          </w:p>
        </w:tc>
        <w:tc>
          <w:tcPr>
            <w:tcW w:w="1913" w:type="dxa"/>
          </w:tcPr>
          <w:p w14:paraId="7862E01A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12 456,87</w:t>
            </w:r>
          </w:p>
        </w:tc>
        <w:tc>
          <w:tcPr>
            <w:tcW w:w="1914" w:type="dxa"/>
          </w:tcPr>
          <w:p w14:paraId="0A047A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100,0</w:t>
            </w:r>
          </w:p>
        </w:tc>
      </w:tr>
      <w:tr w14:paraId="6F9312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2B3B400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3.</w:t>
            </w:r>
          </w:p>
        </w:tc>
        <w:tc>
          <w:tcPr>
            <w:tcW w:w="3291" w:type="dxa"/>
          </w:tcPr>
          <w:p w14:paraId="0CD74EE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Инфраструктура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 xml:space="preserve"> для жизни (00 0 И0 00000)</w:t>
            </w:r>
          </w:p>
        </w:tc>
        <w:tc>
          <w:tcPr>
            <w:tcW w:w="1913" w:type="dxa"/>
          </w:tcPr>
          <w:p w14:paraId="3095DD2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835 533,01</w:t>
            </w:r>
          </w:p>
        </w:tc>
        <w:tc>
          <w:tcPr>
            <w:tcW w:w="1913" w:type="dxa"/>
          </w:tcPr>
          <w:p w14:paraId="2596277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835 533,01</w:t>
            </w:r>
          </w:p>
        </w:tc>
        <w:tc>
          <w:tcPr>
            <w:tcW w:w="1914" w:type="dxa"/>
          </w:tcPr>
          <w:p w14:paraId="14D0303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100,00</w:t>
            </w:r>
          </w:p>
        </w:tc>
      </w:tr>
      <w:tr w14:paraId="2782B5D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39DA823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4</w:t>
            </w:r>
          </w:p>
        </w:tc>
        <w:tc>
          <w:tcPr>
            <w:tcW w:w="3291" w:type="dxa"/>
          </w:tcPr>
          <w:p w14:paraId="1508E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 xml:space="preserve">Беспилотные авиационные системы (00 0 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en-US"/>
              </w:rPr>
              <w:t>Y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0 00000)</w:t>
            </w:r>
          </w:p>
          <w:p w14:paraId="36806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913" w:type="dxa"/>
          </w:tcPr>
          <w:p w14:paraId="6040DF3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10 689,20</w:t>
            </w:r>
          </w:p>
        </w:tc>
        <w:tc>
          <w:tcPr>
            <w:tcW w:w="1913" w:type="dxa"/>
          </w:tcPr>
          <w:p w14:paraId="16D81793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10 689,20</w:t>
            </w:r>
          </w:p>
        </w:tc>
        <w:tc>
          <w:tcPr>
            <w:tcW w:w="1914" w:type="dxa"/>
          </w:tcPr>
          <w:p w14:paraId="25E04B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100,0</w:t>
            </w:r>
          </w:p>
        </w:tc>
      </w:tr>
      <w:tr w14:paraId="13780A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434932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3291" w:type="dxa"/>
          </w:tcPr>
          <w:p w14:paraId="0FE607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Итого</w:t>
            </w:r>
          </w:p>
          <w:p w14:paraId="55DC8D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913" w:type="dxa"/>
          </w:tcPr>
          <w:p w14:paraId="07466C4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981 889,22</w:t>
            </w:r>
          </w:p>
        </w:tc>
        <w:tc>
          <w:tcPr>
            <w:tcW w:w="1913" w:type="dxa"/>
          </w:tcPr>
          <w:p w14:paraId="2E81307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981 889,22</w:t>
            </w:r>
          </w:p>
        </w:tc>
        <w:tc>
          <w:tcPr>
            <w:tcW w:w="1914" w:type="dxa"/>
          </w:tcPr>
          <w:p w14:paraId="600CF5D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100,0</w:t>
            </w:r>
          </w:p>
        </w:tc>
      </w:tr>
    </w:tbl>
    <w:p w14:paraId="5EB85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,Bold" w:cs="Times New Roman"/>
          <w:bCs/>
          <w:iCs/>
          <w:color w:val="000000"/>
          <w:sz w:val="27"/>
          <w:szCs w:val="27"/>
          <w:highlight w:val="none"/>
        </w:rPr>
      </w:pPr>
    </w:p>
    <w:p w14:paraId="593EB69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  <w:highlight w:val="none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  <w:highlight w:val="none"/>
        </w:rPr>
        <w:t>Диаграмма 2</w:t>
      </w:r>
    </w:p>
    <w:p w14:paraId="19725A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  <w:highlight w:val="yellow"/>
        </w:rPr>
      </w:pPr>
      <w:r>
        <w:drawing>
          <wp:inline distT="0" distB="0" distL="114300" distR="114300">
            <wp:extent cx="5674360" cy="3010535"/>
            <wp:effectExtent l="4445" t="4445" r="17145" b="1397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4D167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  <w:highlight w:val="yellow"/>
        </w:rPr>
      </w:pPr>
    </w:p>
    <w:p w14:paraId="315A2A08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>В общем объеме финансирования национальных проектов в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 году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85,1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 % приходится на национальный проект «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Инфраструктура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 xml:space="preserve"> для жизни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>»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, в рамках которого осуществлялась реализация мероприятий:</w:t>
      </w:r>
    </w:p>
    <w:p w14:paraId="5B6E4267">
      <w:pPr>
        <w:autoSpaceDE w:val="0"/>
        <w:autoSpaceDN w:val="0"/>
        <w:adjustRightInd w:val="0"/>
        <w:spacing w:after="0" w:line="240" w:lineRule="auto"/>
        <w:ind w:firstLine="708" w:firstLineChars="0"/>
        <w:jc w:val="both"/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- регионального проекта «Жилье» (мероприятия по переселению граждан из ветхого жилья);</w:t>
      </w:r>
    </w:p>
    <w:p w14:paraId="2B337FD0">
      <w:pPr>
        <w:autoSpaceDE w:val="0"/>
        <w:autoSpaceDN w:val="0"/>
        <w:adjustRightInd w:val="0"/>
        <w:spacing w:after="0" w:line="240" w:lineRule="auto"/>
        <w:ind w:firstLine="708" w:firstLineChars="0"/>
        <w:jc w:val="both"/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- регионального проекта «Модернизация коммунальной инфраструктуры» (мероприятия по ремонт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en-US"/>
        </w:rPr>
        <w:t>e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 xml:space="preserve"> сетей водоотведения);</w:t>
      </w:r>
    </w:p>
    <w:p w14:paraId="31FAAD48">
      <w:pPr>
        <w:autoSpaceDE w:val="0"/>
        <w:autoSpaceDN w:val="0"/>
        <w:adjustRightInd w:val="0"/>
        <w:spacing w:after="0" w:line="240" w:lineRule="auto"/>
        <w:ind w:firstLine="708" w:firstLineChars="0"/>
        <w:jc w:val="both"/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</w:pP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- регионального проекта «Формирование комфортной городской среды» (мероприятия по благоустройству общественной территории).</w:t>
      </w:r>
    </w:p>
    <w:p w14:paraId="46149B5C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>Национальны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й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 проект «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Молодежь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 xml:space="preserve"> и дети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>» в структуре финансирования занима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е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т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 xml:space="preserve">12,5 % и включает мероприятия регионального проекта «Россия - страна возможностей», реализуемые с целью открытия Молодежного центра «Круг» (капитальный ремонт здания, укомплектование мебелью, техническими средствами), и регионального проекта «Педагоги и наставники», в рамках которого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>произведены расходы на обеспечение деятельности советников директоров по воспитанию и взаимодействию с детскими общественными объединениями в общеобразовательных организациях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.</w:t>
      </w:r>
    </w:p>
    <w:p w14:paraId="0D0900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В рамках </w:t>
      </w:r>
      <w:r>
        <w:rPr>
          <w:rFonts w:ascii="Times New Roman" w:hAnsi="Times New Roman" w:eastAsia="Times New Roman,Bold" w:cs="Times New Roman"/>
          <w:bCs/>
          <w:i w:val="0"/>
          <w:iCs w:val="0"/>
          <w:color w:val="000000"/>
          <w:sz w:val="28"/>
          <w:szCs w:val="28"/>
          <w:highlight w:val="none"/>
        </w:rPr>
        <w:t>национального проекта</w:t>
      </w:r>
      <w:r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,Bold" w:cs="Times New Roman"/>
          <w:bCs/>
          <w:i w:val="0"/>
          <w:iCs w:val="0"/>
          <w:color w:val="000000"/>
          <w:sz w:val="28"/>
          <w:szCs w:val="28"/>
          <w:highlight w:val="none"/>
        </w:rPr>
        <w:t>«</w:t>
      </w:r>
      <w:r>
        <w:rPr>
          <w:rFonts w:ascii="Times New Roman" w:hAnsi="Times New Roman" w:eastAsia="Times New Roman,Bold" w:cs="Times New Roman"/>
          <w:bCs/>
          <w:i w:val="0"/>
          <w:iCs w:val="0"/>
          <w:color w:val="000000"/>
          <w:sz w:val="28"/>
          <w:szCs w:val="28"/>
          <w:highlight w:val="none"/>
          <w:lang w:val="ru-RU"/>
        </w:rPr>
        <w:t>Семья</w:t>
      </w:r>
      <w:r>
        <w:rPr>
          <w:rFonts w:ascii="Times New Roman" w:hAnsi="Times New Roman" w:eastAsia="Times New Roman,Bold" w:cs="Times New Roman"/>
          <w:bCs/>
          <w:i w:val="0"/>
          <w:iCs w:val="0"/>
          <w:color w:val="000000"/>
          <w:sz w:val="28"/>
          <w:szCs w:val="28"/>
          <w:highlight w:val="none"/>
        </w:rPr>
        <w:t>»</w:t>
      </w:r>
      <w:r>
        <w:rPr>
          <w:rFonts w:hint="default" w:ascii="Times New Roman" w:hAnsi="Times New Roman" w:eastAsia="Times New Roman,Bold" w:cs="Times New Roman"/>
          <w:bCs/>
          <w:i w:val="0"/>
          <w:iCs w:val="0"/>
          <w:color w:val="000000"/>
          <w:sz w:val="28"/>
          <w:szCs w:val="28"/>
          <w:highlight w:val="none"/>
          <w:lang w:val="ru-RU"/>
        </w:rPr>
        <w:t>, регионального проекта «Семеные ценности и инфраструктура культуры», объем финансирования которого составил 1,3 %,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осуществлен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 xml:space="preserve"> капитальный ремонт зрительного зала МБУ «ГДК»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. </w:t>
      </w:r>
    </w:p>
    <w:p w14:paraId="018C34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>В рамках национального проекта «Беспилотные авиационные системы»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,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 регионального проекта «Стимулирование спроса на отечественные беспилотные авиационные системы» реализованы мероприятия по оснащению образовательных организаций оборудованием для реализации образовательных процессов в сфере разработки, производства и эксплуатации беспилотных авиационных систем.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ab/>
      </w:r>
    </w:p>
    <w:p w14:paraId="551B7FEA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eastAsia="Times New Roman,Bold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/>
          <w:bCs/>
          <w:iCs/>
          <w:color w:val="000000"/>
          <w:sz w:val="28"/>
          <w:szCs w:val="28"/>
        </w:rPr>
        <w:t>6.2. Исполнение расходов бюджета по муниципальным программам</w:t>
      </w:r>
    </w:p>
    <w:p w14:paraId="439E7E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В соответствии с БК РФ распределение бюджетных ассигнований, предусмотренных решением о бюджете, сформировано в разрезе муниципальных программ и непрограммных расходов.</w:t>
      </w:r>
    </w:p>
    <w:p w14:paraId="2DCFD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Расходы бюджета округа по непрограммным мероприятиям за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год исполнены в сумме 1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48 257,46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тыс. рублей (98,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7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 от уточненного годового плана – 1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50 134,23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тыс. рублей), что выше, чем в среднем исполнение расходов по бюджету (9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8,0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%).</w:t>
      </w:r>
    </w:p>
    <w:p w14:paraId="0DA4B7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В соответствии с постановлением администрации Богородского муниципального округа Нижегородской области от </w:t>
      </w:r>
      <w:r>
        <w:rPr>
          <w:rFonts w:ascii="Times New Roman" w:hAnsi="Times New Roman" w:eastAsia="SimSun" w:cs="Times New Roman"/>
          <w:color w:val="000000"/>
          <w:sz w:val="27"/>
          <w:szCs w:val="27"/>
        </w:rPr>
        <w:t>26.09.2022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№ 3679 «Об утверждении Перечня муниципальных программ» на территории округа в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году предусмотрены к реализации 17 муниципальных программ. По данным сводного годового доклада о ходе реализации и оценке эффективности муниципальных программ Богородского муниципального округа Нижегородской области за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год произведён анализ исполнения муниципальных программ.</w:t>
      </w:r>
    </w:p>
    <w:p w14:paraId="0F336E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Кассовые расходы на финансирование программных мероприятий составили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4 179 348,01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или 9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8,0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 от годовых плановых назначений, предусмотренных на финансирование муниципальных программ и на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24,6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 больше к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4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году.</w:t>
      </w:r>
    </w:p>
    <w:p w14:paraId="502F85C5">
      <w:pPr>
        <w:autoSpaceDE w:val="0"/>
        <w:autoSpaceDN w:val="0"/>
        <w:adjustRightInd w:val="0"/>
        <w:spacing w:after="0" w:line="240" w:lineRule="auto"/>
        <w:ind w:left="0" w:leftChars="0" w:firstLine="658" w:firstLineChars="235"/>
        <w:jc w:val="both"/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  <w:highlight w:val="none"/>
        </w:rPr>
      </w:pPr>
      <w:r>
        <w:rPr>
          <w:rFonts w:ascii="Times New Roman" w:hAnsi="Times New Roman" w:eastAsia="Times New Roman,Bold" w:cs="Times New Roman"/>
          <w:bCs/>
          <w:iCs/>
          <w:sz w:val="28"/>
          <w:szCs w:val="28"/>
          <w:highlight w:val="none"/>
        </w:rPr>
        <w:t>В 202</w:t>
      </w:r>
      <w:r>
        <w:rPr>
          <w:rFonts w:hint="default" w:ascii="Times New Roman" w:hAnsi="Times New Roman" w:eastAsia="Times New Roman,Bold" w:cs="Times New Roman"/>
          <w:bCs/>
          <w:iCs/>
          <w:sz w:val="28"/>
          <w:szCs w:val="28"/>
          <w:highlight w:val="none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sz w:val="28"/>
          <w:szCs w:val="28"/>
          <w:highlight w:val="none"/>
        </w:rPr>
        <w:t xml:space="preserve"> году расходные обязательства по муниципальным программам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 исполнялись следующим образом:</w:t>
      </w:r>
    </w:p>
    <w:p w14:paraId="5CD459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  <w:highlight w:val="none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  <w:highlight w:val="none"/>
        </w:rPr>
        <w:t>Таблица № 11</w:t>
      </w:r>
    </w:p>
    <w:tbl>
      <w:tblPr>
        <w:tblStyle w:val="4"/>
        <w:tblW w:w="9335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2"/>
        <w:gridCol w:w="4235"/>
        <w:gridCol w:w="1358"/>
        <w:gridCol w:w="1313"/>
        <w:gridCol w:w="597"/>
        <w:gridCol w:w="1260"/>
      </w:tblGrid>
      <w:tr w14:paraId="36CC36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72" w:type="dxa"/>
            <w:vMerge w:val="restart"/>
            <w:tcBorders>
              <w:top w:val="single" w:color="auto" w:sz="4" w:space="0"/>
              <w:left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2B55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№ п/п</w:t>
            </w:r>
          </w:p>
        </w:tc>
        <w:tc>
          <w:tcPr>
            <w:tcW w:w="4235" w:type="dxa"/>
            <w:vMerge w:val="restart"/>
            <w:tcBorders>
              <w:top w:val="single" w:color="auto" w:sz="4" w:space="0"/>
              <w:left w:val="nil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FC8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Наименование муниципальной программы</w:t>
            </w:r>
          </w:p>
        </w:tc>
        <w:tc>
          <w:tcPr>
            <w:tcW w:w="1358" w:type="dxa"/>
            <w:vMerge w:val="restart"/>
            <w:tcBorders>
              <w:top w:val="single" w:color="auto" w:sz="4" w:space="0"/>
              <w:left w:val="nil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2D2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Бюджетные ассигнования на 202</w:t>
            </w:r>
            <w:r>
              <w:rPr>
                <w:rFonts w:hint="default" w:ascii="Times New Roman" w:hAnsi="Times New Roman" w:cs="Times New Roman"/>
                <w:bCs/>
                <w:sz w:val="20"/>
                <w:szCs w:val="20"/>
                <w:highlight w:val="none"/>
                <w:lang w:val="ru-RU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 xml:space="preserve"> год</w:t>
            </w:r>
          </w:p>
        </w:tc>
        <w:tc>
          <w:tcPr>
            <w:tcW w:w="19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A8B0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Исполнение 202</w:t>
            </w:r>
            <w:r>
              <w:rPr>
                <w:rFonts w:hint="default" w:ascii="Times New Roman" w:hAnsi="Times New Roman" w:cs="Times New Roman"/>
                <w:bCs/>
                <w:sz w:val="20"/>
                <w:szCs w:val="20"/>
                <w:highlight w:val="none"/>
                <w:lang w:val="ru-RU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 xml:space="preserve"> год</w:t>
            </w:r>
          </w:p>
        </w:tc>
        <w:tc>
          <w:tcPr>
            <w:tcW w:w="1260" w:type="dxa"/>
            <w:vMerge w:val="restart"/>
            <w:tcBorders>
              <w:top w:val="single" w:color="auto" w:sz="4" w:space="0"/>
              <w:left w:val="nil"/>
              <w:right w:val="dotted" w:color="auto" w:sz="4" w:space="0"/>
            </w:tcBorders>
          </w:tcPr>
          <w:p w14:paraId="64EBF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Доля в общей сумме программных расходов, %</w:t>
            </w:r>
          </w:p>
        </w:tc>
      </w:tr>
      <w:tr w14:paraId="113EBD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" w:hRule="atLeast"/>
          <w:jc w:val="center"/>
        </w:trPr>
        <w:tc>
          <w:tcPr>
            <w:tcW w:w="572" w:type="dxa"/>
            <w:vMerge w:val="continue"/>
            <w:tcBorders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404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</w:p>
        </w:tc>
        <w:tc>
          <w:tcPr>
            <w:tcW w:w="4235" w:type="dxa"/>
            <w:vMerge w:val="continue"/>
            <w:tcBorders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417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</w:p>
        </w:tc>
        <w:tc>
          <w:tcPr>
            <w:tcW w:w="1358" w:type="dxa"/>
            <w:vMerge w:val="continue"/>
            <w:tcBorders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3DE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AA1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 xml:space="preserve">  (тыс.руб.)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10C473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в %</w:t>
            </w:r>
          </w:p>
        </w:tc>
        <w:tc>
          <w:tcPr>
            <w:tcW w:w="1260" w:type="dxa"/>
            <w:vMerge w:val="continue"/>
            <w:tcBorders>
              <w:left w:val="nil"/>
              <w:bottom w:val="single" w:color="auto" w:sz="4" w:space="0"/>
              <w:right w:val="dotted" w:color="auto" w:sz="4" w:space="0"/>
            </w:tcBorders>
          </w:tcPr>
          <w:p w14:paraId="3EAF1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</w:p>
        </w:tc>
      </w:tr>
      <w:tr w14:paraId="0E40F4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B3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01</w:t>
            </w:r>
          </w:p>
        </w:tc>
        <w:tc>
          <w:tcPr>
            <w:tcW w:w="4235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5A9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МП "Развитие образования Богородского муниципального округа Нижегородской области"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DC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935 458,87</w:t>
            </w:r>
          </w:p>
        </w:tc>
        <w:tc>
          <w:tcPr>
            <w:tcW w:w="1313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B5B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896 497,58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390F7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98,0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15202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45,4</w:t>
            </w:r>
          </w:p>
        </w:tc>
      </w:tr>
      <w:tr w14:paraId="2FA6BC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A53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02</w:t>
            </w:r>
          </w:p>
        </w:tc>
        <w:tc>
          <w:tcPr>
            <w:tcW w:w="4235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735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МП "Социальная поддержка граждан Богородского муниципального округа Нижегородской области"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57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17 180,65</w:t>
            </w:r>
          </w:p>
        </w:tc>
        <w:tc>
          <w:tcPr>
            <w:tcW w:w="1313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750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17 145,03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07BC0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99,8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25CA2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0,4</w:t>
            </w:r>
          </w:p>
        </w:tc>
      </w:tr>
      <w:tr w14:paraId="2FE378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93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03</w:t>
            </w:r>
          </w:p>
        </w:tc>
        <w:tc>
          <w:tcPr>
            <w:tcW w:w="4235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F5A5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МП "Обеспечение населения Богородского муниципального округа Нижегородской области доступным и комфортным жильём"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7F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393 837,79</w:t>
            </w:r>
          </w:p>
        </w:tc>
        <w:tc>
          <w:tcPr>
            <w:tcW w:w="1313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B48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393 837,79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366D4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0F1B8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9,4</w:t>
            </w:r>
          </w:p>
        </w:tc>
      </w:tr>
      <w:tr w14:paraId="1A0321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69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04</w:t>
            </w:r>
          </w:p>
        </w:tc>
        <w:tc>
          <w:tcPr>
            <w:tcW w:w="4235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3DB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МП "Развитие культуры в Богородском муниципальном округе Нижегородской области"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AE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231 797,03</w:t>
            </w:r>
          </w:p>
        </w:tc>
        <w:tc>
          <w:tcPr>
            <w:tcW w:w="1313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A7F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231 776,95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498F5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0E2C6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5,5</w:t>
            </w:r>
          </w:p>
        </w:tc>
      </w:tr>
      <w:tr w14:paraId="44187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8D3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05</w:t>
            </w:r>
          </w:p>
        </w:tc>
        <w:tc>
          <w:tcPr>
            <w:tcW w:w="4235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7BBF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МП "Развитие физической культуры и спорта в Богородском муниципальном округе Нижегородской области"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7D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126 529,03</w:t>
            </w:r>
          </w:p>
        </w:tc>
        <w:tc>
          <w:tcPr>
            <w:tcW w:w="1313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10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126 315,39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11233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99,8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2661A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3,0</w:t>
            </w:r>
          </w:p>
        </w:tc>
      </w:tr>
      <w:tr w14:paraId="191EB4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9B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06</w:t>
            </w:r>
          </w:p>
        </w:tc>
        <w:tc>
          <w:tcPr>
            <w:tcW w:w="4235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4977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МП "Развитие агропромышленного комплекса Богородского муниципального округа Нижегородской области"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2A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134 732,92</w:t>
            </w:r>
          </w:p>
        </w:tc>
        <w:tc>
          <w:tcPr>
            <w:tcW w:w="1313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3F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133 754,36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6997F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99,3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193D9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3,2</w:t>
            </w:r>
          </w:p>
        </w:tc>
      </w:tr>
      <w:tr w14:paraId="090FFC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89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07</w:t>
            </w:r>
          </w:p>
        </w:tc>
        <w:tc>
          <w:tcPr>
            <w:tcW w:w="4235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FA84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МП "Управление муниципальными финансами и муниципальным долгом Богородского муниципального округа Нижегородской области"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48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45 166,55</w:t>
            </w:r>
          </w:p>
        </w:tc>
        <w:tc>
          <w:tcPr>
            <w:tcW w:w="1313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D6A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44 126,89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548B1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97,7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456D3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1,1</w:t>
            </w:r>
          </w:p>
        </w:tc>
      </w:tr>
      <w:tr w14:paraId="691E2B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6B76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08</w:t>
            </w:r>
          </w:p>
        </w:tc>
        <w:tc>
          <w:tcPr>
            <w:tcW w:w="4235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201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МП "Управление муниципальным имуществом и земельными ресурсами Богородского муниципального округа Нижегородской области"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0A2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59 208,25</w:t>
            </w:r>
          </w:p>
        </w:tc>
        <w:tc>
          <w:tcPr>
            <w:tcW w:w="1313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ADD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47 311,51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4E818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79,9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6DA6A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1,1</w:t>
            </w:r>
          </w:p>
        </w:tc>
      </w:tr>
      <w:tr w14:paraId="2752DC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42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09</w:t>
            </w:r>
          </w:p>
        </w:tc>
        <w:tc>
          <w:tcPr>
            <w:tcW w:w="4235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EE8C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МП "Содействие развитию субъектов малого и среднего предпринимательства в Богородском муниципальном округа Нижегородской области"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57E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1 005,20</w:t>
            </w:r>
          </w:p>
        </w:tc>
        <w:tc>
          <w:tcPr>
            <w:tcW w:w="1313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EE0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1 005,20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45B5F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477C3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0,0</w:t>
            </w:r>
          </w:p>
        </w:tc>
      </w:tr>
      <w:tr w14:paraId="391407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2B1F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4235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523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МП "Развитие дорожного хозяйства Богородского муниципального округа Нижегородской области"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940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266 098,18</w:t>
            </w:r>
          </w:p>
        </w:tc>
        <w:tc>
          <w:tcPr>
            <w:tcW w:w="1313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4C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255 275,33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090E3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95,9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4EC42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6,1</w:t>
            </w:r>
          </w:p>
        </w:tc>
      </w:tr>
      <w:tr w14:paraId="0B72F3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" w:hRule="atLeas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0F6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11</w:t>
            </w:r>
          </w:p>
        </w:tc>
        <w:tc>
          <w:tcPr>
            <w:tcW w:w="4235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6A6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outlineLvl w:val="2"/>
              <w:rPr>
                <w:rFonts w:hint="default" w:ascii="Times New Roman" w:hAnsi="Times New Roman" w:cs="Times New Roman"/>
                <w:bCs/>
                <w:sz w:val="20"/>
                <w:szCs w:val="20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МП "Обеспечение населения Богородского муниципального округа Нижегородской области качественными</w:t>
            </w:r>
            <w:r>
              <w:rPr>
                <w:rFonts w:hint="default" w:ascii="Times New Roman" w:hAnsi="Times New Roman" w:cs="Times New Roman"/>
                <w:bCs/>
                <w:sz w:val="20"/>
                <w:szCs w:val="20"/>
                <w:highlight w:val="none"/>
                <w:lang w:val="ru-RU"/>
              </w:rPr>
              <w:t>,</w:t>
            </w:r>
          </w:p>
          <w:p w14:paraId="3E4D7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услугами в сфере жилищно-коммунального хозяйства"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45F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646 485,86</w:t>
            </w:r>
          </w:p>
        </w:tc>
        <w:tc>
          <w:tcPr>
            <w:tcW w:w="1313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18E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631 911,22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02DFC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97,7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1B242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15,1</w:t>
            </w:r>
          </w:p>
        </w:tc>
      </w:tr>
      <w:tr w14:paraId="083B6D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7EF8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12</w:t>
            </w:r>
          </w:p>
        </w:tc>
        <w:tc>
          <w:tcPr>
            <w:tcW w:w="4235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63F2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outlineLvl w:val="3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МП "Обеспечение безопасности жизнедеятельности населения Богородского муниципального округа Нижегородской области"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EC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91 537,74</w:t>
            </w:r>
          </w:p>
        </w:tc>
        <w:tc>
          <w:tcPr>
            <w:tcW w:w="1313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AB7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90 977,36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76E5A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99,4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3BD4E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2,2</w:t>
            </w:r>
          </w:p>
        </w:tc>
      </w:tr>
      <w:tr w14:paraId="55D54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BF80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13</w:t>
            </w:r>
          </w:p>
        </w:tc>
        <w:tc>
          <w:tcPr>
            <w:tcW w:w="4235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44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МП "Информационное общество Богородского муниципального округа Нижегородской области"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5E5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25 669,11</w:t>
            </w:r>
          </w:p>
        </w:tc>
        <w:tc>
          <w:tcPr>
            <w:tcW w:w="1313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16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25 392,07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1C988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98,9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36821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0,6</w:t>
            </w:r>
          </w:p>
        </w:tc>
      </w:tr>
      <w:tr w14:paraId="4406CF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2659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14</w:t>
            </w:r>
          </w:p>
        </w:tc>
        <w:tc>
          <w:tcPr>
            <w:tcW w:w="4235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A82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МП "Развитие муниципальной службы в Богородском муниципальном округа Нижегородской области"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AC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42 676,61</w:t>
            </w:r>
          </w:p>
        </w:tc>
        <w:tc>
          <w:tcPr>
            <w:tcW w:w="1313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A6B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42 383,31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7FABF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99,3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52B4C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1,0</w:t>
            </w:r>
          </w:p>
        </w:tc>
      </w:tr>
      <w:tr w14:paraId="05809B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6266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15</w:t>
            </w:r>
          </w:p>
        </w:tc>
        <w:tc>
          <w:tcPr>
            <w:tcW w:w="4235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501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МП "Формирование комфортной городской среды на территории Богородского муниципального округа Нижегородской области"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5F1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19 268,75</w:t>
            </w:r>
          </w:p>
        </w:tc>
        <w:tc>
          <w:tcPr>
            <w:tcW w:w="1313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2A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19 268,75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0B13F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19EC0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0,5</w:t>
            </w:r>
          </w:p>
        </w:tc>
      </w:tr>
      <w:tr w14:paraId="1593D3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25E8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16</w:t>
            </w:r>
          </w:p>
        </w:tc>
        <w:tc>
          <w:tcPr>
            <w:tcW w:w="4235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1B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 xml:space="preserve">МП </w:t>
            </w:r>
            <w:r>
              <w:rPr>
                <w:rFonts w:ascii="Times New Roman" w:hAnsi="Times New Roman"/>
                <w:bCs/>
                <w:sz w:val="20"/>
                <w:szCs w:val="20"/>
                <w:highlight w:val="none"/>
              </w:rPr>
              <w:t>"Улучшение качества жизни и обеспечение безопасности жителей Богородского муниципального округа Нижегородской области"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3B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227 937,73</w:t>
            </w:r>
          </w:p>
        </w:tc>
        <w:tc>
          <w:tcPr>
            <w:tcW w:w="1313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01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222 349,47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2C189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97,5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308F5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5,3</w:t>
            </w:r>
          </w:p>
        </w:tc>
      </w:tr>
      <w:tr w14:paraId="4DEF4A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46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>17</w:t>
            </w:r>
          </w:p>
        </w:tc>
        <w:tc>
          <w:tcPr>
            <w:tcW w:w="4235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441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highlight w:val="none"/>
              </w:rPr>
              <w:t xml:space="preserve">МП </w:t>
            </w:r>
            <w:r>
              <w:rPr>
                <w:rFonts w:ascii="Times New Roman" w:hAnsi="Times New Roman"/>
                <w:bCs/>
                <w:sz w:val="20"/>
                <w:szCs w:val="20"/>
                <w:highlight w:val="none"/>
              </w:rPr>
              <w:t>"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none"/>
              </w:rPr>
              <w:t>Энергосбережение и повышения энергетической эффективности на территории Богородского муниципального округа</w:t>
            </w:r>
            <w:r>
              <w:rPr>
                <w:rFonts w:ascii="Times New Roman" w:hAnsi="Times New Roman"/>
                <w:bCs/>
                <w:sz w:val="20"/>
                <w:szCs w:val="20"/>
                <w:highlight w:val="none"/>
              </w:rPr>
              <w:t>"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5F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19,80</w:t>
            </w:r>
          </w:p>
        </w:tc>
        <w:tc>
          <w:tcPr>
            <w:tcW w:w="1313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1A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19,80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01C9A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4805C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0,0</w:t>
            </w:r>
          </w:p>
        </w:tc>
      </w:tr>
      <w:tr w14:paraId="21CA7A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872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35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C22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2A2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264 610,07</w:t>
            </w:r>
          </w:p>
        </w:tc>
        <w:tc>
          <w:tcPr>
            <w:tcW w:w="1313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4C9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179 348,01</w:t>
            </w:r>
          </w:p>
        </w:tc>
        <w:tc>
          <w:tcPr>
            <w:tcW w:w="597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30278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98,0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dotted" w:color="auto" w:sz="4" w:space="0"/>
            </w:tcBorders>
            <w:vAlign w:val="center"/>
          </w:tcPr>
          <w:p w14:paraId="1F95E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100,0</w:t>
            </w:r>
          </w:p>
        </w:tc>
      </w:tr>
    </w:tbl>
    <w:p w14:paraId="0908C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</w:p>
    <w:p w14:paraId="46CA06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Анализ исполнения расходов бюджета округа по муниципальным программам показал следующее.</w:t>
      </w:r>
    </w:p>
    <w:p w14:paraId="440DD0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</w:p>
    <w:p w14:paraId="0DDA21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</w:p>
    <w:p w14:paraId="21F19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</w:p>
    <w:p w14:paraId="2A21B0DA">
      <w:pPr>
        <w:pStyle w:val="12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5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Муниципальная программа «Развитие образования Богородского муниципального округа Нижегородской области».</w:t>
      </w:r>
    </w:p>
    <w:p w14:paraId="22E65D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Расходы по программе исполнены в сумме </w:t>
      </w:r>
      <w:r>
        <w:rPr>
          <w:rFonts w:hint="default" w:ascii="Times New Roman" w:hAnsi="Times New Roman" w:eastAsia="SimSun" w:cs="Times New Roman"/>
          <w:i w:val="0"/>
          <w:iCs w:val="0"/>
          <w:color w:val="000000"/>
          <w:kern w:val="0"/>
          <w:sz w:val="28"/>
          <w:szCs w:val="28"/>
          <w:u w:val="none"/>
          <w:lang w:val="ru-RU" w:eastAsia="zh-CN" w:bidi="ar"/>
        </w:rPr>
        <w:t>1 896 497,58</w:t>
      </w:r>
      <w:r>
        <w:rPr>
          <w:rFonts w:hint="default" w:ascii="Times New Roman" w:hAnsi="Times New Roman" w:eastAsia="SimSun" w:cs="Times New Roman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 xml:space="preserve">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тыс.рублей или 9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8,0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 от уточненного годового плана.</w:t>
      </w:r>
    </w:p>
    <w:p w14:paraId="495055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Доля расходов по программе в общей сумме программных расходов бюджета округа по кассовому исполнению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45,4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%.</w:t>
      </w:r>
    </w:p>
    <w:p w14:paraId="515CA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Большую часть расходов (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69,8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%) данной программы составляют расходы за счет средств субвенций, субсидий и иных межбюджетных трансфертов из областного и федерального бюджетов.</w:t>
      </w:r>
    </w:p>
    <w:p w14:paraId="55FC0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Информация об исполнении подпрограмм в рамках муниципальной программы представлена в таблице:</w:t>
      </w:r>
    </w:p>
    <w:p w14:paraId="03273BB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  <w:t>Таблица № 12</w:t>
      </w:r>
    </w:p>
    <w:tbl>
      <w:tblPr>
        <w:tblStyle w:val="10"/>
        <w:tblpPr w:leftFromText="180" w:rightFromText="180" w:vertAnchor="text" w:tblpX="95" w:tblpY="1"/>
        <w:tblOverlap w:val="never"/>
        <w:tblW w:w="9507" w:type="dxa"/>
        <w:tblInd w:w="9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6"/>
        <w:gridCol w:w="1297"/>
        <w:gridCol w:w="991"/>
        <w:gridCol w:w="1250"/>
        <w:gridCol w:w="933"/>
        <w:gridCol w:w="1500"/>
      </w:tblGrid>
      <w:tr w14:paraId="4C706C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3536" w:type="dxa"/>
            <w:vMerge w:val="restart"/>
          </w:tcPr>
          <w:p w14:paraId="743E1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2288" w:type="dxa"/>
            <w:gridSpan w:val="2"/>
          </w:tcPr>
          <w:p w14:paraId="7EF33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Уточненный план на 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2183" w:type="dxa"/>
            <w:gridSpan w:val="2"/>
          </w:tcPr>
          <w:p w14:paraId="56BD3D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Исполнено за</w:t>
            </w:r>
          </w:p>
          <w:p w14:paraId="0EC39D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500" w:type="dxa"/>
            <w:vMerge w:val="restart"/>
          </w:tcPr>
          <w:p w14:paraId="1A21E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% исполнения к годовым назначениям</w:t>
            </w:r>
          </w:p>
        </w:tc>
      </w:tr>
      <w:tr w14:paraId="056F309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6" w:type="dxa"/>
            <w:vMerge w:val="continue"/>
          </w:tcPr>
          <w:p w14:paraId="1C22DA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</w:tcPr>
          <w:p w14:paraId="70E077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тыс.рублей</w:t>
            </w:r>
          </w:p>
        </w:tc>
        <w:tc>
          <w:tcPr>
            <w:tcW w:w="991" w:type="dxa"/>
          </w:tcPr>
          <w:p w14:paraId="167E5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доля,%</w:t>
            </w:r>
          </w:p>
        </w:tc>
        <w:tc>
          <w:tcPr>
            <w:tcW w:w="1250" w:type="dxa"/>
          </w:tcPr>
          <w:p w14:paraId="336885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тыс.рублей</w:t>
            </w:r>
          </w:p>
        </w:tc>
        <w:tc>
          <w:tcPr>
            <w:tcW w:w="933" w:type="dxa"/>
          </w:tcPr>
          <w:p w14:paraId="00092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доля,%</w:t>
            </w:r>
          </w:p>
        </w:tc>
        <w:tc>
          <w:tcPr>
            <w:tcW w:w="1500" w:type="dxa"/>
            <w:vMerge w:val="continue"/>
          </w:tcPr>
          <w:p w14:paraId="49BCE5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14:paraId="78B228C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36" w:type="dxa"/>
            <w:vAlign w:val="center"/>
          </w:tcPr>
          <w:p w14:paraId="6266201D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val="en-US" w:eastAsia="zh-CN"/>
              </w:rPr>
              <w:t>"Развитие общего образования"</w:t>
            </w:r>
          </w:p>
        </w:tc>
        <w:tc>
          <w:tcPr>
            <w:tcW w:w="1297" w:type="dxa"/>
            <w:vAlign w:val="center"/>
          </w:tcPr>
          <w:p w14:paraId="28527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1665 642,59 </w:t>
            </w:r>
          </w:p>
        </w:tc>
        <w:tc>
          <w:tcPr>
            <w:tcW w:w="991" w:type="dxa"/>
            <w:vAlign w:val="center"/>
          </w:tcPr>
          <w:p w14:paraId="7B199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86,1 </w:t>
            </w:r>
          </w:p>
        </w:tc>
        <w:tc>
          <w:tcPr>
            <w:tcW w:w="1250" w:type="dxa"/>
            <w:vAlign w:val="center"/>
          </w:tcPr>
          <w:p w14:paraId="3D7A2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1630 412,19 </w:t>
            </w:r>
          </w:p>
        </w:tc>
        <w:tc>
          <w:tcPr>
            <w:tcW w:w="933" w:type="dxa"/>
            <w:vAlign w:val="center"/>
          </w:tcPr>
          <w:p w14:paraId="5C3F0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86,0 </w:t>
            </w:r>
          </w:p>
        </w:tc>
        <w:tc>
          <w:tcPr>
            <w:tcW w:w="1500" w:type="dxa"/>
            <w:vAlign w:val="center"/>
          </w:tcPr>
          <w:p w14:paraId="1AE56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97,9 </w:t>
            </w:r>
          </w:p>
        </w:tc>
      </w:tr>
      <w:tr w14:paraId="1B9864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36" w:type="dxa"/>
            <w:vAlign w:val="center"/>
          </w:tcPr>
          <w:p w14:paraId="27A92C84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  <w:t>"Развитие дополнительного образования и воспитания детей и молодежи"</w:t>
            </w:r>
          </w:p>
        </w:tc>
        <w:tc>
          <w:tcPr>
            <w:tcW w:w="1297" w:type="dxa"/>
            <w:vAlign w:val="center"/>
          </w:tcPr>
          <w:p w14:paraId="23994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127 383,34 </w:t>
            </w:r>
          </w:p>
        </w:tc>
        <w:tc>
          <w:tcPr>
            <w:tcW w:w="991" w:type="dxa"/>
            <w:vAlign w:val="center"/>
          </w:tcPr>
          <w:p w14:paraId="34DF3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6,6 </w:t>
            </w:r>
          </w:p>
        </w:tc>
        <w:tc>
          <w:tcPr>
            <w:tcW w:w="1250" w:type="dxa"/>
            <w:vAlign w:val="center"/>
          </w:tcPr>
          <w:p w14:paraId="43E2F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127 223,16 </w:t>
            </w:r>
          </w:p>
        </w:tc>
        <w:tc>
          <w:tcPr>
            <w:tcW w:w="933" w:type="dxa"/>
            <w:vAlign w:val="center"/>
          </w:tcPr>
          <w:p w14:paraId="49711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6,7 </w:t>
            </w:r>
          </w:p>
        </w:tc>
        <w:tc>
          <w:tcPr>
            <w:tcW w:w="1500" w:type="dxa"/>
            <w:vAlign w:val="center"/>
          </w:tcPr>
          <w:p w14:paraId="25414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99,9 </w:t>
            </w:r>
          </w:p>
        </w:tc>
      </w:tr>
      <w:tr w14:paraId="2FF39F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6" w:type="dxa"/>
            <w:vAlign w:val="center"/>
          </w:tcPr>
          <w:p w14:paraId="3EC8494C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  <w:t>"Развитие системы оценки качества образования и обеспечение деятельности системы образования"</w:t>
            </w:r>
          </w:p>
        </w:tc>
        <w:tc>
          <w:tcPr>
            <w:tcW w:w="1297" w:type="dxa"/>
            <w:vAlign w:val="center"/>
          </w:tcPr>
          <w:p w14:paraId="4C828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46 784,12 </w:t>
            </w:r>
          </w:p>
        </w:tc>
        <w:tc>
          <w:tcPr>
            <w:tcW w:w="991" w:type="dxa"/>
            <w:vAlign w:val="center"/>
          </w:tcPr>
          <w:p w14:paraId="1571C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2,4 </w:t>
            </w:r>
          </w:p>
        </w:tc>
        <w:tc>
          <w:tcPr>
            <w:tcW w:w="1250" w:type="dxa"/>
            <w:vAlign w:val="center"/>
          </w:tcPr>
          <w:p w14:paraId="62DD2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46 537,18 </w:t>
            </w:r>
          </w:p>
        </w:tc>
        <w:tc>
          <w:tcPr>
            <w:tcW w:w="933" w:type="dxa"/>
            <w:vAlign w:val="center"/>
          </w:tcPr>
          <w:p w14:paraId="0DE89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2,5 </w:t>
            </w:r>
          </w:p>
        </w:tc>
        <w:tc>
          <w:tcPr>
            <w:tcW w:w="1500" w:type="dxa"/>
            <w:vAlign w:val="center"/>
          </w:tcPr>
          <w:p w14:paraId="7E2EA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99,5 </w:t>
            </w:r>
          </w:p>
        </w:tc>
      </w:tr>
      <w:tr w14:paraId="56C048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6" w:type="dxa"/>
            <w:vAlign w:val="center"/>
          </w:tcPr>
          <w:p w14:paraId="60CD989C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val="en-US" w:eastAsia="zh-CN"/>
              </w:rPr>
              <w:t>"Организация и проведение мероприятий"</w:t>
            </w:r>
          </w:p>
        </w:tc>
        <w:tc>
          <w:tcPr>
            <w:tcW w:w="1297" w:type="dxa"/>
            <w:vAlign w:val="center"/>
          </w:tcPr>
          <w:p w14:paraId="24B04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1 839,08 </w:t>
            </w:r>
          </w:p>
        </w:tc>
        <w:tc>
          <w:tcPr>
            <w:tcW w:w="991" w:type="dxa"/>
            <w:vAlign w:val="center"/>
          </w:tcPr>
          <w:p w14:paraId="1A324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0,1 </w:t>
            </w:r>
          </w:p>
        </w:tc>
        <w:tc>
          <w:tcPr>
            <w:tcW w:w="1250" w:type="dxa"/>
            <w:vAlign w:val="center"/>
          </w:tcPr>
          <w:p w14:paraId="1DC6D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1 819,39 </w:t>
            </w:r>
          </w:p>
        </w:tc>
        <w:tc>
          <w:tcPr>
            <w:tcW w:w="933" w:type="dxa"/>
            <w:vAlign w:val="center"/>
          </w:tcPr>
          <w:p w14:paraId="6D451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0,1 </w:t>
            </w:r>
          </w:p>
        </w:tc>
        <w:tc>
          <w:tcPr>
            <w:tcW w:w="1500" w:type="dxa"/>
            <w:vAlign w:val="center"/>
          </w:tcPr>
          <w:p w14:paraId="024FA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98,9 </w:t>
            </w:r>
          </w:p>
        </w:tc>
      </w:tr>
      <w:tr w14:paraId="7742C5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6" w:type="dxa"/>
            <w:vAlign w:val="center"/>
          </w:tcPr>
          <w:p w14:paraId="5123BCE9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val="en-US" w:eastAsia="zh-CN"/>
              </w:rPr>
              <w:t>"Ресурсное обеспечение сферы образования"</w:t>
            </w:r>
          </w:p>
        </w:tc>
        <w:tc>
          <w:tcPr>
            <w:tcW w:w="1297" w:type="dxa"/>
            <w:vAlign w:val="center"/>
          </w:tcPr>
          <w:p w14:paraId="0072E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78 596,79 </w:t>
            </w:r>
          </w:p>
        </w:tc>
        <w:tc>
          <w:tcPr>
            <w:tcW w:w="991" w:type="dxa"/>
            <w:vAlign w:val="center"/>
          </w:tcPr>
          <w:p w14:paraId="63443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4,1 </w:t>
            </w:r>
          </w:p>
        </w:tc>
        <w:tc>
          <w:tcPr>
            <w:tcW w:w="1250" w:type="dxa"/>
            <w:vAlign w:val="center"/>
          </w:tcPr>
          <w:p w14:paraId="4EB9D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76 070,14 </w:t>
            </w:r>
          </w:p>
        </w:tc>
        <w:tc>
          <w:tcPr>
            <w:tcW w:w="933" w:type="dxa"/>
            <w:vAlign w:val="center"/>
          </w:tcPr>
          <w:p w14:paraId="02715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4,0 </w:t>
            </w:r>
          </w:p>
        </w:tc>
        <w:tc>
          <w:tcPr>
            <w:tcW w:w="1500" w:type="dxa"/>
            <w:vAlign w:val="center"/>
          </w:tcPr>
          <w:p w14:paraId="380BF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96,8 </w:t>
            </w:r>
          </w:p>
        </w:tc>
      </w:tr>
      <w:tr w14:paraId="205D29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6" w:type="dxa"/>
            <w:vAlign w:val="center"/>
          </w:tcPr>
          <w:p w14:paraId="1087CA31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val="en-US" w:eastAsia="zh-CN"/>
              </w:rPr>
              <w:t>"Обеспечение реализации муниципальной программы"</w:t>
            </w:r>
          </w:p>
        </w:tc>
        <w:tc>
          <w:tcPr>
            <w:tcW w:w="1297" w:type="dxa"/>
            <w:vAlign w:val="center"/>
          </w:tcPr>
          <w:p w14:paraId="78718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15 212,95 </w:t>
            </w:r>
          </w:p>
        </w:tc>
        <w:tc>
          <w:tcPr>
            <w:tcW w:w="991" w:type="dxa"/>
            <w:vAlign w:val="center"/>
          </w:tcPr>
          <w:p w14:paraId="16911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0,8 </w:t>
            </w:r>
          </w:p>
        </w:tc>
        <w:tc>
          <w:tcPr>
            <w:tcW w:w="1250" w:type="dxa"/>
            <w:vAlign w:val="center"/>
          </w:tcPr>
          <w:p w14:paraId="12441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14 435,50 </w:t>
            </w:r>
          </w:p>
        </w:tc>
        <w:tc>
          <w:tcPr>
            <w:tcW w:w="933" w:type="dxa"/>
            <w:vAlign w:val="center"/>
          </w:tcPr>
          <w:p w14:paraId="35158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0,8 </w:t>
            </w:r>
          </w:p>
        </w:tc>
        <w:tc>
          <w:tcPr>
            <w:tcW w:w="1500" w:type="dxa"/>
            <w:vAlign w:val="center"/>
          </w:tcPr>
          <w:p w14:paraId="72AF6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94,9 </w:t>
            </w:r>
          </w:p>
        </w:tc>
      </w:tr>
      <w:tr w14:paraId="50A0DF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36" w:type="dxa"/>
          </w:tcPr>
          <w:p w14:paraId="45718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Итого</w:t>
            </w:r>
          </w:p>
          <w:p w14:paraId="6D5C1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687477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1935 458,87 </w:t>
            </w:r>
          </w:p>
        </w:tc>
        <w:tc>
          <w:tcPr>
            <w:tcW w:w="991" w:type="dxa"/>
            <w:vAlign w:val="center"/>
          </w:tcPr>
          <w:p w14:paraId="341F1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 </w:t>
            </w:r>
          </w:p>
        </w:tc>
        <w:tc>
          <w:tcPr>
            <w:tcW w:w="1250" w:type="dxa"/>
            <w:vAlign w:val="center"/>
          </w:tcPr>
          <w:p w14:paraId="0B7A9A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1896 497,56 </w:t>
            </w:r>
          </w:p>
        </w:tc>
        <w:tc>
          <w:tcPr>
            <w:tcW w:w="933" w:type="dxa"/>
            <w:vAlign w:val="center"/>
          </w:tcPr>
          <w:p w14:paraId="194B4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 </w:t>
            </w:r>
          </w:p>
        </w:tc>
        <w:tc>
          <w:tcPr>
            <w:tcW w:w="1500" w:type="dxa"/>
            <w:vAlign w:val="center"/>
          </w:tcPr>
          <w:p w14:paraId="11E7F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98,0 </w:t>
            </w:r>
          </w:p>
        </w:tc>
      </w:tr>
    </w:tbl>
    <w:p w14:paraId="7A38F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7"/>
          <w:szCs w:val="27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7"/>
          <w:szCs w:val="27"/>
        </w:rPr>
        <w:tab/>
      </w:r>
    </w:p>
    <w:p w14:paraId="0F3D08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За отчетный период степень достижения плановых значений целевых индикаторов составила 95,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%.</w:t>
      </w:r>
    </w:p>
    <w:p w14:paraId="5364F5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По итогам проведения оценки эффективности реализации муниципальных программ за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год, программа находится на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месте. Присвоенная оценка эффективности – высокая.</w:t>
      </w:r>
    </w:p>
    <w:p w14:paraId="01C63DAA">
      <w:pPr>
        <w:pStyle w:val="12"/>
        <w:autoSpaceDE w:val="0"/>
        <w:autoSpaceDN w:val="0"/>
        <w:adjustRightInd w:val="0"/>
        <w:spacing w:after="0" w:line="240" w:lineRule="auto"/>
        <w:ind w:left="705"/>
        <w:jc w:val="both"/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</w:rPr>
      </w:pPr>
    </w:p>
    <w:p w14:paraId="54407378">
      <w:pPr>
        <w:pStyle w:val="12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eastAsia="Times New Roman,Bold" w:cs="Times New Roman"/>
          <w:bCs/>
          <w:i/>
          <w:iCs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/>
          <w:iCs/>
          <w:sz w:val="28"/>
          <w:szCs w:val="28"/>
        </w:rPr>
        <w:t>Муниципальная программа «Социальная поддержка граждан Богородского муниципального округа Нижегородской области»</w:t>
      </w:r>
    </w:p>
    <w:p w14:paraId="0DB4F0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Расходы по программе исполнены в сумме </w:t>
      </w:r>
      <w:r>
        <w:rPr>
          <w:rFonts w:hint="default" w:ascii="Times New Roman" w:hAnsi="Times New Roman" w:eastAsia="Times New Roman,Bold"/>
          <w:bCs/>
          <w:iCs/>
          <w:color w:val="000000"/>
          <w:sz w:val="28"/>
          <w:szCs w:val="28"/>
          <w:lang w:val="ru-RU"/>
        </w:rPr>
        <w:t>17 145,03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тыс.рублей или 9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9,8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 от уточненного годового плана.</w:t>
      </w:r>
    </w:p>
    <w:p w14:paraId="6DBE11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Доля расходов по программе в общей сумме программных расходов бюджета составляет по кассовому исполнению 0,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4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%.</w:t>
      </w:r>
    </w:p>
    <w:p w14:paraId="7BADF3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Информация о структуре финансирования и кассовом исполнении подпрограмм в рамках муниципальной программы представлена в таблице.</w:t>
      </w:r>
    </w:p>
    <w:p w14:paraId="1E1644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  <w:t>Таблица № 13</w:t>
      </w:r>
    </w:p>
    <w:tbl>
      <w:tblPr>
        <w:tblStyle w:val="10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0"/>
        <w:gridCol w:w="1282"/>
        <w:gridCol w:w="1219"/>
        <w:gridCol w:w="1263"/>
        <w:gridCol w:w="1097"/>
        <w:gridCol w:w="1649"/>
      </w:tblGrid>
      <w:tr w14:paraId="06AAD1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0" w:type="dxa"/>
            <w:vMerge w:val="restart"/>
          </w:tcPr>
          <w:p w14:paraId="1F1484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Наименование подпрограммы</w:t>
            </w:r>
          </w:p>
          <w:p w14:paraId="3C37A4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501" w:type="dxa"/>
            <w:gridSpan w:val="2"/>
          </w:tcPr>
          <w:p w14:paraId="2F2899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Уточненный план на 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 год</w:t>
            </w:r>
          </w:p>
          <w:p w14:paraId="3BEA93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360" w:type="dxa"/>
            <w:gridSpan w:val="2"/>
          </w:tcPr>
          <w:p w14:paraId="73CDC1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Исполнено за</w:t>
            </w:r>
          </w:p>
          <w:p w14:paraId="219DA2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649" w:type="dxa"/>
            <w:vMerge w:val="restart"/>
          </w:tcPr>
          <w:p w14:paraId="6B8EED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% исполнения к годовым назначениям</w:t>
            </w:r>
          </w:p>
        </w:tc>
      </w:tr>
      <w:tr w14:paraId="1570D3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0" w:type="dxa"/>
            <w:vMerge w:val="continue"/>
          </w:tcPr>
          <w:p w14:paraId="5B3536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82" w:type="dxa"/>
          </w:tcPr>
          <w:p w14:paraId="55467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тыс.рублей</w:t>
            </w:r>
          </w:p>
        </w:tc>
        <w:tc>
          <w:tcPr>
            <w:tcW w:w="1219" w:type="dxa"/>
          </w:tcPr>
          <w:p w14:paraId="49035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доля,%</w:t>
            </w:r>
          </w:p>
        </w:tc>
        <w:tc>
          <w:tcPr>
            <w:tcW w:w="1263" w:type="dxa"/>
          </w:tcPr>
          <w:p w14:paraId="3E5D7D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тыс.рублей</w:t>
            </w:r>
          </w:p>
        </w:tc>
        <w:tc>
          <w:tcPr>
            <w:tcW w:w="1097" w:type="dxa"/>
          </w:tcPr>
          <w:p w14:paraId="37C7E0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доля,%</w:t>
            </w:r>
          </w:p>
        </w:tc>
        <w:tc>
          <w:tcPr>
            <w:tcW w:w="1649" w:type="dxa"/>
            <w:vMerge w:val="continue"/>
          </w:tcPr>
          <w:p w14:paraId="18AA7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14:paraId="0428A7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  <w:jc w:val="center"/>
        </w:trPr>
        <w:tc>
          <w:tcPr>
            <w:tcW w:w="2980" w:type="dxa"/>
            <w:vAlign w:val="center"/>
          </w:tcPr>
          <w:p w14:paraId="1921E6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color w:val="000000"/>
                <w:sz w:val="20"/>
                <w:szCs w:val="20"/>
                <w:lang w:val="ru-RU" w:eastAsia="zh-CN"/>
              </w:rPr>
              <w:t>«</w:t>
            </w: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val="en-US" w:eastAsia="zh-CN"/>
              </w:rPr>
              <w:t>Семья</w:t>
            </w:r>
            <w:r>
              <w:rPr>
                <w:rFonts w:hint="default" w:ascii="Times New Roman" w:hAnsi="Times New Roman" w:eastAsia="Arial CYR" w:cs="Times New Roman"/>
                <w:color w:val="000000"/>
                <w:sz w:val="20"/>
                <w:szCs w:val="20"/>
                <w:lang w:val="ru-RU" w:eastAsia="zh-CN"/>
              </w:rPr>
              <w:t>»</w:t>
            </w:r>
          </w:p>
        </w:tc>
        <w:tc>
          <w:tcPr>
            <w:tcW w:w="1282" w:type="dxa"/>
            <w:vAlign w:val="center"/>
          </w:tcPr>
          <w:p w14:paraId="2B51B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8 011,39</w:t>
            </w:r>
          </w:p>
        </w:tc>
        <w:tc>
          <w:tcPr>
            <w:tcW w:w="1219" w:type="dxa"/>
            <w:vAlign w:val="center"/>
          </w:tcPr>
          <w:p w14:paraId="1745E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46,6</w:t>
            </w:r>
          </w:p>
        </w:tc>
        <w:tc>
          <w:tcPr>
            <w:tcW w:w="1263" w:type="dxa"/>
            <w:vAlign w:val="center"/>
          </w:tcPr>
          <w:p w14:paraId="002E6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7 975,77</w:t>
            </w:r>
          </w:p>
        </w:tc>
        <w:tc>
          <w:tcPr>
            <w:tcW w:w="1097" w:type="dxa"/>
            <w:vAlign w:val="center"/>
          </w:tcPr>
          <w:p w14:paraId="35CE3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46,5</w:t>
            </w:r>
          </w:p>
        </w:tc>
        <w:tc>
          <w:tcPr>
            <w:tcW w:w="1649" w:type="dxa"/>
            <w:vAlign w:val="center"/>
          </w:tcPr>
          <w:p w14:paraId="4EDA5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99,6</w:t>
            </w:r>
          </w:p>
        </w:tc>
      </w:tr>
      <w:tr w14:paraId="1BE799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0" w:type="dxa"/>
            <w:vAlign w:val="center"/>
          </w:tcPr>
          <w:p w14:paraId="6B5236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color w:val="000000"/>
                <w:sz w:val="20"/>
                <w:szCs w:val="20"/>
                <w:lang w:val="ru-RU" w:eastAsia="zh-CN"/>
              </w:rPr>
              <w:t>«</w:t>
            </w: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val="en-US" w:eastAsia="zh-CN"/>
              </w:rPr>
              <w:t>Старшее поколение</w:t>
            </w:r>
            <w:r>
              <w:rPr>
                <w:rFonts w:hint="default" w:ascii="Times New Roman" w:hAnsi="Times New Roman" w:eastAsia="Arial CYR" w:cs="Times New Roman"/>
                <w:color w:val="000000"/>
                <w:sz w:val="20"/>
                <w:szCs w:val="20"/>
                <w:lang w:val="ru-RU" w:eastAsia="zh-CN"/>
              </w:rPr>
              <w:t>»</w:t>
            </w:r>
          </w:p>
        </w:tc>
        <w:tc>
          <w:tcPr>
            <w:tcW w:w="1282" w:type="dxa"/>
            <w:vAlign w:val="center"/>
          </w:tcPr>
          <w:p w14:paraId="4A356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8 925,76</w:t>
            </w:r>
          </w:p>
        </w:tc>
        <w:tc>
          <w:tcPr>
            <w:tcW w:w="1219" w:type="dxa"/>
            <w:vAlign w:val="center"/>
          </w:tcPr>
          <w:p w14:paraId="3A841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52,5</w:t>
            </w:r>
          </w:p>
        </w:tc>
        <w:tc>
          <w:tcPr>
            <w:tcW w:w="1263" w:type="dxa"/>
            <w:vAlign w:val="center"/>
          </w:tcPr>
          <w:p w14:paraId="4F546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8 925,76</w:t>
            </w:r>
          </w:p>
        </w:tc>
        <w:tc>
          <w:tcPr>
            <w:tcW w:w="1097" w:type="dxa"/>
            <w:vAlign w:val="center"/>
          </w:tcPr>
          <w:p w14:paraId="3309E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52,6</w:t>
            </w:r>
          </w:p>
        </w:tc>
        <w:tc>
          <w:tcPr>
            <w:tcW w:w="1649" w:type="dxa"/>
            <w:vAlign w:val="center"/>
          </w:tcPr>
          <w:p w14:paraId="1D7D9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101,0</w:t>
            </w:r>
          </w:p>
        </w:tc>
      </w:tr>
      <w:tr w14:paraId="34D2E4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0" w:type="dxa"/>
            <w:vAlign w:val="center"/>
          </w:tcPr>
          <w:p w14:paraId="79D60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color w:val="000000"/>
                <w:sz w:val="20"/>
                <w:szCs w:val="20"/>
                <w:lang w:val="ru-RU" w:eastAsia="zh-CN"/>
              </w:rPr>
              <w:t>«</w:t>
            </w: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val="en-US" w:eastAsia="zh-CN"/>
              </w:rPr>
              <w:t>Ветераны боевых действий</w:t>
            </w:r>
            <w:r>
              <w:rPr>
                <w:rFonts w:hint="default" w:ascii="Times New Roman" w:hAnsi="Times New Roman" w:eastAsia="Arial CYR" w:cs="Times New Roman"/>
                <w:color w:val="000000"/>
                <w:sz w:val="20"/>
                <w:szCs w:val="20"/>
                <w:lang w:val="ru-RU" w:eastAsia="zh-CN"/>
              </w:rPr>
              <w:t>»</w:t>
            </w:r>
          </w:p>
        </w:tc>
        <w:tc>
          <w:tcPr>
            <w:tcW w:w="1282" w:type="dxa"/>
            <w:vAlign w:val="center"/>
          </w:tcPr>
          <w:p w14:paraId="3AB5E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228,50</w:t>
            </w:r>
          </w:p>
        </w:tc>
        <w:tc>
          <w:tcPr>
            <w:tcW w:w="1219" w:type="dxa"/>
            <w:vAlign w:val="center"/>
          </w:tcPr>
          <w:p w14:paraId="4C418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1,4</w:t>
            </w:r>
          </w:p>
        </w:tc>
        <w:tc>
          <w:tcPr>
            <w:tcW w:w="1263" w:type="dxa"/>
            <w:vAlign w:val="center"/>
          </w:tcPr>
          <w:p w14:paraId="4F843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228,50</w:t>
            </w:r>
          </w:p>
        </w:tc>
        <w:tc>
          <w:tcPr>
            <w:tcW w:w="1097" w:type="dxa"/>
            <w:vAlign w:val="center"/>
          </w:tcPr>
          <w:p w14:paraId="3045B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1,4</w:t>
            </w:r>
          </w:p>
        </w:tc>
        <w:tc>
          <w:tcPr>
            <w:tcW w:w="1649" w:type="dxa"/>
            <w:vAlign w:val="center"/>
          </w:tcPr>
          <w:p w14:paraId="524D6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102,0</w:t>
            </w:r>
          </w:p>
        </w:tc>
      </w:tr>
      <w:tr w14:paraId="0D5728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2980" w:type="dxa"/>
            <w:vAlign w:val="center"/>
          </w:tcPr>
          <w:p w14:paraId="66381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color w:val="000000"/>
                <w:sz w:val="20"/>
                <w:szCs w:val="20"/>
                <w:lang w:val="ru-RU" w:eastAsia="zh-CN"/>
              </w:rPr>
              <w:t>«</w:t>
            </w: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val="en-US" w:eastAsia="zh-CN"/>
              </w:rPr>
              <w:t>Патриотическое воспитание граждан</w:t>
            </w:r>
            <w:r>
              <w:rPr>
                <w:rFonts w:hint="default" w:ascii="Times New Roman" w:hAnsi="Times New Roman" w:eastAsia="Arial CYR" w:cs="Times New Roman"/>
                <w:color w:val="000000"/>
                <w:sz w:val="20"/>
                <w:szCs w:val="20"/>
                <w:lang w:val="ru-RU" w:eastAsia="zh-CN"/>
              </w:rPr>
              <w:t>»</w:t>
            </w:r>
          </w:p>
        </w:tc>
        <w:tc>
          <w:tcPr>
            <w:tcW w:w="1282" w:type="dxa"/>
            <w:vAlign w:val="center"/>
          </w:tcPr>
          <w:p w14:paraId="437AB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15,00</w:t>
            </w:r>
          </w:p>
        </w:tc>
        <w:tc>
          <w:tcPr>
            <w:tcW w:w="1219" w:type="dxa"/>
            <w:vAlign w:val="center"/>
          </w:tcPr>
          <w:p w14:paraId="4296B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0,1</w:t>
            </w:r>
          </w:p>
        </w:tc>
        <w:tc>
          <w:tcPr>
            <w:tcW w:w="1263" w:type="dxa"/>
            <w:vAlign w:val="center"/>
          </w:tcPr>
          <w:p w14:paraId="5FA71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15,00</w:t>
            </w:r>
          </w:p>
        </w:tc>
        <w:tc>
          <w:tcPr>
            <w:tcW w:w="1097" w:type="dxa"/>
            <w:vAlign w:val="center"/>
          </w:tcPr>
          <w:p w14:paraId="6CE7D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0,1</w:t>
            </w:r>
          </w:p>
        </w:tc>
        <w:tc>
          <w:tcPr>
            <w:tcW w:w="1649" w:type="dxa"/>
            <w:vAlign w:val="center"/>
          </w:tcPr>
          <w:p w14:paraId="4AA65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103,0</w:t>
            </w:r>
          </w:p>
        </w:tc>
      </w:tr>
      <w:tr w14:paraId="60D0EE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0" w:type="dxa"/>
            <w:vAlign w:val="center"/>
          </w:tcPr>
          <w:p w14:paraId="3AABE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after="0" w:line="240" w:lineRule="auto"/>
              <w:jc w:val="left"/>
              <w:textAlignment w:val="auto"/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«Формирование доступной для инвалидов среды жизнедеятельности»</w:t>
            </w:r>
          </w:p>
        </w:tc>
        <w:tc>
          <w:tcPr>
            <w:tcW w:w="1282" w:type="dxa"/>
            <w:vAlign w:val="center"/>
          </w:tcPr>
          <w:p w14:paraId="5DF5C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0,00</w:t>
            </w:r>
          </w:p>
        </w:tc>
        <w:tc>
          <w:tcPr>
            <w:tcW w:w="1219" w:type="dxa"/>
            <w:vAlign w:val="center"/>
          </w:tcPr>
          <w:p w14:paraId="6D819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0,0</w:t>
            </w:r>
          </w:p>
        </w:tc>
        <w:tc>
          <w:tcPr>
            <w:tcW w:w="1263" w:type="dxa"/>
            <w:vAlign w:val="center"/>
          </w:tcPr>
          <w:p w14:paraId="6C42A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0,00</w:t>
            </w:r>
          </w:p>
        </w:tc>
        <w:tc>
          <w:tcPr>
            <w:tcW w:w="1097" w:type="dxa"/>
            <w:vAlign w:val="center"/>
          </w:tcPr>
          <w:p w14:paraId="0876F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0,0</w:t>
            </w:r>
          </w:p>
        </w:tc>
        <w:tc>
          <w:tcPr>
            <w:tcW w:w="1649" w:type="dxa"/>
            <w:vAlign w:val="center"/>
          </w:tcPr>
          <w:p w14:paraId="34834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jc w:val="center"/>
              <w:textAlignment w:val="auto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0,0</w:t>
            </w:r>
          </w:p>
        </w:tc>
      </w:tr>
      <w:tr w14:paraId="32D48B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80" w:type="dxa"/>
            <w:vAlign w:val="center"/>
          </w:tcPr>
          <w:p w14:paraId="64F895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  <w:t>Итого</w:t>
            </w:r>
            <w:r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  <w:t>:</w:t>
            </w:r>
          </w:p>
        </w:tc>
        <w:tc>
          <w:tcPr>
            <w:tcW w:w="1282" w:type="dxa"/>
            <w:vAlign w:val="center"/>
          </w:tcPr>
          <w:p w14:paraId="10C11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  <w:t>13 035,59</w:t>
            </w:r>
          </w:p>
        </w:tc>
        <w:tc>
          <w:tcPr>
            <w:tcW w:w="1219" w:type="dxa"/>
            <w:vAlign w:val="center"/>
          </w:tcPr>
          <w:p w14:paraId="1B616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1263" w:type="dxa"/>
            <w:vAlign w:val="center"/>
          </w:tcPr>
          <w:p w14:paraId="1FC7E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  <w:t>12 967,67</w:t>
            </w:r>
          </w:p>
        </w:tc>
        <w:tc>
          <w:tcPr>
            <w:tcW w:w="1097" w:type="dxa"/>
            <w:vAlign w:val="center"/>
          </w:tcPr>
          <w:p w14:paraId="406FA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1649" w:type="dxa"/>
            <w:vAlign w:val="center"/>
          </w:tcPr>
          <w:p w14:paraId="26B73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  <w:t>99,5</w:t>
            </w:r>
          </w:p>
        </w:tc>
      </w:tr>
    </w:tbl>
    <w:p w14:paraId="0BE6267B">
      <w:pPr>
        <w:autoSpaceDE w:val="0"/>
        <w:autoSpaceDN w:val="0"/>
        <w:adjustRightInd w:val="0"/>
        <w:spacing w:after="0" w:line="240" w:lineRule="auto"/>
        <w:ind w:left="0" w:leftChars="0" w:firstLine="658" w:firstLineChars="235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Степень достижения плановых значений целевых индикаторов за отчетный период составила 100,0 %. По итогам проведения оценки эффективности реализации муниципальных программ за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год, программа находится на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3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месте. Присвоенная оценка эффективности – высокая.</w:t>
      </w:r>
    </w:p>
    <w:p w14:paraId="60F86C4A">
      <w:pPr>
        <w:autoSpaceDE w:val="0"/>
        <w:autoSpaceDN w:val="0"/>
        <w:adjustRightInd w:val="0"/>
        <w:spacing w:after="0" w:line="240" w:lineRule="auto"/>
        <w:rPr>
          <w:rFonts w:eastAsia="Times New Roman,Bold" w:cs="Times New Roman,Bold"/>
          <w:bCs/>
          <w:iCs/>
          <w:color w:val="000000"/>
          <w:sz w:val="27"/>
          <w:szCs w:val="27"/>
        </w:rPr>
      </w:pPr>
    </w:p>
    <w:p w14:paraId="5BBA7152">
      <w:pPr>
        <w:pStyle w:val="12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</w:rPr>
        <w:t>Муниципальная программа «</w:t>
      </w:r>
      <w:r>
        <w:rPr>
          <w:rFonts w:ascii="Times New Roman" w:hAnsi="Times New Roman" w:cs="Times New Roman"/>
          <w:bCs/>
          <w:i/>
          <w:sz w:val="28"/>
          <w:szCs w:val="28"/>
        </w:rPr>
        <w:t>Обеспечение населения Богородского муниципального округа Нижегородской области доступным и комфортным жильем»</w:t>
      </w:r>
    </w:p>
    <w:p w14:paraId="2B4982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Расходы по муниципальной программе исполнены в сумме </w:t>
      </w:r>
      <w:r>
        <w:rPr>
          <w:rFonts w:hint="default" w:ascii="Times New Roman" w:hAnsi="Times New Roman" w:eastAsia="Times New Roman,Bold"/>
          <w:bCs/>
          <w:iCs/>
          <w:color w:val="000000"/>
          <w:sz w:val="28"/>
          <w:szCs w:val="28"/>
          <w:lang w:val="ru-RU"/>
        </w:rPr>
        <w:t xml:space="preserve">393 837,79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тыс.рублей или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100,0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% от уточненного годового плана. </w:t>
      </w:r>
    </w:p>
    <w:p w14:paraId="2B0DD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Доля расходов по программе в общей сумме программных расходов бюджета округа составляет по кассовому исполнению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9,4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%.</w:t>
      </w:r>
    </w:p>
    <w:p w14:paraId="6D4E76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Большую часть расходов (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91,3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%) данной программы составляют расходы за счет средств областного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,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федерального бюджетов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 и </w:t>
      </w:r>
      <w:r>
        <w:rPr>
          <w:rFonts w:hint="default" w:ascii="Times New Roman" w:hAnsi="Times New Roman" w:eastAsia="Times New Roman,Bold"/>
          <w:bCs/>
          <w:iCs/>
          <w:color w:val="000000"/>
          <w:sz w:val="28"/>
          <w:szCs w:val="28"/>
          <w:lang w:val="ru-RU"/>
        </w:rPr>
        <w:t>за счет средств публично-правовой компании "Фонд развития территорий"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.</w:t>
      </w:r>
    </w:p>
    <w:p w14:paraId="40F2F095">
      <w:pPr>
        <w:autoSpaceDE w:val="0"/>
        <w:autoSpaceDN w:val="0"/>
        <w:adjustRightInd w:val="0"/>
        <w:spacing w:after="0" w:line="240" w:lineRule="auto"/>
        <w:ind w:firstLine="658" w:firstLineChars="235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Информация о структуре финансирования и кассовом исполнении подпрограмм в рамках муниципальной программы  представлена в таблице.</w:t>
      </w:r>
    </w:p>
    <w:p w14:paraId="6CA704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  <w:t>Таблица № 14</w:t>
      </w:r>
    </w:p>
    <w:tbl>
      <w:tblPr>
        <w:tblStyle w:val="10"/>
        <w:tblW w:w="9473" w:type="dxa"/>
        <w:tblInd w:w="9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2"/>
        <w:gridCol w:w="1350"/>
        <w:gridCol w:w="757"/>
        <w:gridCol w:w="1350"/>
        <w:gridCol w:w="717"/>
        <w:gridCol w:w="1467"/>
      </w:tblGrid>
      <w:tr w14:paraId="4B7AB8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2" w:type="dxa"/>
            <w:vMerge w:val="restart"/>
          </w:tcPr>
          <w:p w14:paraId="14237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2107" w:type="dxa"/>
            <w:gridSpan w:val="2"/>
          </w:tcPr>
          <w:p w14:paraId="3BC8A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Уточненный план на 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2067" w:type="dxa"/>
            <w:gridSpan w:val="2"/>
          </w:tcPr>
          <w:p w14:paraId="579A1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Исполнено за</w:t>
            </w:r>
          </w:p>
          <w:p w14:paraId="3C254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467" w:type="dxa"/>
            <w:vMerge w:val="restart"/>
          </w:tcPr>
          <w:p w14:paraId="5C012C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% исполнения к годовым назначениям</w:t>
            </w:r>
          </w:p>
        </w:tc>
      </w:tr>
      <w:tr w14:paraId="355E4F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3832" w:type="dxa"/>
            <w:vMerge w:val="continue"/>
          </w:tcPr>
          <w:p w14:paraId="55A7E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</w:tcPr>
          <w:p w14:paraId="10D87F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тыс.рублей</w:t>
            </w:r>
          </w:p>
          <w:p w14:paraId="1BE857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</w:tcPr>
          <w:p w14:paraId="4CDA6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доля,%</w:t>
            </w:r>
          </w:p>
          <w:p w14:paraId="46D1D2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</w:tcPr>
          <w:p w14:paraId="2B20D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тыс.рублей</w:t>
            </w:r>
          </w:p>
          <w:p w14:paraId="0F368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</w:tcPr>
          <w:p w14:paraId="5D5299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доля,%</w:t>
            </w:r>
          </w:p>
          <w:p w14:paraId="549C79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  <w:vMerge w:val="continue"/>
          </w:tcPr>
          <w:p w14:paraId="0207A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14:paraId="2A09FC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2" w:type="dxa"/>
            <w:vAlign w:val="center"/>
          </w:tcPr>
          <w:p w14:paraId="7855494F">
            <w:pPr>
              <w:spacing w:after="0" w:line="240" w:lineRule="auto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  <w:t>"Обеспечение жильем молодых семей в Богородском муниципальном округе Нижегородской области"</w:t>
            </w:r>
          </w:p>
        </w:tc>
        <w:tc>
          <w:tcPr>
            <w:tcW w:w="1350" w:type="dxa"/>
            <w:vAlign w:val="center"/>
          </w:tcPr>
          <w:p w14:paraId="368D7A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0,93</w:t>
            </w:r>
          </w:p>
        </w:tc>
        <w:tc>
          <w:tcPr>
            <w:tcW w:w="757" w:type="dxa"/>
            <w:vAlign w:val="center"/>
          </w:tcPr>
          <w:p w14:paraId="1F813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0,0</w:t>
            </w:r>
          </w:p>
        </w:tc>
        <w:tc>
          <w:tcPr>
            <w:tcW w:w="1350" w:type="dxa"/>
            <w:vAlign w:val="center"/>
          </w:tcPr>
          <w:p w14:paraId="2DD720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0,93</w:t>
            </w:r>
          </w:p>
        </w:tc>
        <w:tc>
          <w:tcPr>
            <w:tcW w:w="717" w:type="dxa"/>
            <w:vAlign w:val="center"/>
          </w:tcPr>
          <w:p w14:paraId="16B75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0,0</w:t>
            </w:r>
          </w:p>
        </w:tc>
        <w:tc>
          <w:tcPr>
            <w:tcW w:w="1467" w:type="dxa"/>
            <w:vAlign w:val="center"/>
          </w:tcPr>
          <w:p w14:paraId="12758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100,0</w:t>
            </w:r>
          </w:p>
        </w:tc>
      </w:tr>
      <w:tr w14:paraId="627657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7" w:hRule="atLeast"/>
        </w:trPr>
        <w:tc>
          <w:tcPr>
            <w:tcW w:w="3832" w:type="dxa"/>
            <w:vAlign w:val="center"/>
          </w:tcPr>
          <w:p w14:paraId="692A6190">
            <w:pPr>
              <w:spacing w:after="0" w:line="240" w:lineRule="auto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  <w:t>"Обеспечение инженерной и дорожной инфраструктурой земельных участков, предназначенных для бесплатного предоставления многодетным семьям для индивидуального жилищного строительства в Богородском муниципальном округе Нижегородской области"</w:t>
            </w:r>
          </w:p>
        </w:tc>
        <w:tc>
          <w:tcPr>
            <w:tcW w:w="1350" w:type="dxa"/>
            <w:vAlign w:val="center"/>
          </w:tcPr>
          <w:p w14:paraId="6B17EC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,00</w:t>
            </w:r>
          </w:p>
        </w:tc>
        <w:tc>
          <w:tcPr>
            <w:tcW w:w="757" w:type="dxa"/>
            <w:vAlign w:val="center"/>
          </w:tcPr>
          <w:p w14:paraId="0C335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0,0</w:t>
            </w:r>
          </w:p>
        </w:tc>
        <w:tc>
          <w:tcPr>
            <w:tcW w:w="1350" w:type="dxa"/>
            <w:vAlign w:val="center"/>
          </w:tcPr>
          <w:p w14:paraId="605BFE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,00</w:t>
            </w:r>
          </w:p>
        </w:tc>
        <w:tc>
          <w:tcPr>
            <w:tcW w:w="717" w:type="dxa"/>
            <w:vAlign w:val="center"/>
          </w:tcPr>
          <w:p w14:paraId="633AE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0,0</w:t>
            </w:r>
          </w:p>
        </w:tc>
        <w:tc>
          <w:tcPr>
            <w:tcW w:w="1467" w:type="dxa"/>
            <w:vAlign w:val="center"/>
          </w:tcPr>
          <w:p w14:paraId="17117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0,0</w:t>
            </w:r>
          </w:p>
        </w:tc>
      </w:tr>
      <w:tr w14:paraId="1E569A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" w:hRule="atLeast"/>
        </w:trPr>
        <w:tc>
          <w:tcPr>
            <w:tcW w:w="3832" w:type="dxa"/>
            <w:vAlign w:val="center"/>
          </w:tcPr>
          <w:p w14:paraId="44A6E805">
            <w:pPr>
              <w:spacing w:after="0" w:line="240" w:lineRule="auto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  <w:t>"Переселение граждан из аварийного жилищного фонда на территории Богородского муниципального округа Нижегородской области , в том числе с учетом необходимости развития малоэтажного жилищного строительства"</w:t>
            </w:r>
          </w:p>
        </w:tc>
        <w:tc>
          <w:tcPr>
            <w:tcW w:w="1350" w:type="dxa"/>
            <w:vAlign w:val="center"/>
          </w:tcPr>
          <w:p w14:paraId="195A55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423,87</w:t>
            </w:r>
          </w:p>
        </w:tc>
        <w:tc>
          <w:tcPr>
            <w:tcW w:w="757" w:type="dxa"/>
            <w:vAlign w:val="center"/>
          </w:tcPr>
          <w:p w14:paraId="284AF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83,9</w:t>
            </w:r>
          </w:p>
        </w:tc>
        <w:tc>
          <w:tcPr>
            <w:tcW w:w="1350" w:type="dxa"/>
            <w:vAlign w:val="center"/>
          </w:tcPr>
          <w:p w14:paraId="309DD0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423,87</w:t>
            </w:r>
          </w:p>
        </w:tc>
        <w:tc>
          <w:tcPr>
            <w:tcW w:w="717" w:type="dxa"/>
            <w:vAlign w:val="center"/>
          </w:tcPr>
          <w:p w14:paraId="19138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83,9</w:t>
            </w:r>
          </w:p>
        </w:tc>
        <w:tc>
          <w:tcPr>
            <w:tcW w:w="1467" w:type="dxa"/>
            <w:vAlign w:val="center"/>
          </w:tcPr>
          <w:p w14:paraId="44CC8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100,0</w:t>
            </w:r>
          </w:p>
        </w:tc>
      </w:tr>
      <w:tr w14:paraId="420A74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2" w:type="dxa"/>
            <w:vAlign w:val="center"/>
          </w:tcPr>
          <w:p w14:paraId="5212A95B">
            <w:pPr>
              <w:spacing w:after="0" w:line="240" w:lineRule="auto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  <w:t>"Выполнение государственных обязательств по обеспечению жильем отдельных категорий граждан, установленных федеральным законодательством"</w:t>
            </w:r>
          </w:p>
        </w:tc>
        <w:tc>
          <w:tcPr>
            <w:tcW w:w="1350" w:type="dxa"/>
            <w:vAlign w:val="center"/>
          </w:tcPr>
          <w:p w14:paraId="3E73D9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412,99</w:t>
            </w:r>
          </w:p>
        </w:tc>
        <w:tc>
          <w:tcPr>
            <w:tcW w:w="757" w:type="dxa"/>
            <w:vAlign w:val="center"/>
          </w:tcPr>
          <w:p w14:paraId="665DB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16,1</w:t>
            </w:r>
          </w:p>
        </w:tc>
        <w:tc>
          <w:tcPr>
            <w:tcW w:w="1350" w:type="dxa"/>
            <w:vAlign w:val="center"/>
          </w:tcPr>
          <w:p w14:paraId="120613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412,99</w:t>
            </w:r>
          </w:p>
        </w:tc>
        <w:tc>
          <w:tcPr>
            <w:tcW w:w="717" w:type="dxa"/>
            <w:vAlign w:val="center"/>
          </w:tcPr>
          <w:p w14:paraId="379C1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16,1</w:t>
            </w:r>
          </w:p>
        </w:tc>
        <w:tc>
          <w:tcPr>
            <w:tcW w:w="1467" w:type="dxa"/>
            <w:vAlign w:val="center"/>
          </w:tcPr>
          <w:p w14:paraId="7747D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100,0</w:t>
            </w:r>
          </w:p>
        </w:tc>
      </w:tr>
      <w:tr w14:paraId="08548F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2" w:type="dxa"/>
          </w:tcPr>
          <w:p w14:paraId="5BD94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50" w:type="dxa"/>
            <w:vAlign w:val="center"/>
          </w:tcPr>
          <w:p w14:paraId="61B123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837,79</w:t>
            </w:r>
          </w:p>
        </w:tc>
        <w:tc>
          <w:tcPr>
            <w:tcW w:w="757" w:type="dxa"/>
            <w:vAlign w:val="center"/>
          </w:tcPr>
          <w:p w14:paraId="56C06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100,0</w:t>
            </w:r>
          </w:p>
        </w:tc>
        <w:tc>
          <w:tcPr>
            <w:tcW w:w="1350" w:type="dxa"/>
            <w:vAlign w:val="center"/>
          </w:tcPr>
          <w:p w14:paraId="452251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837,79</w:t>
            </w:r>
          </w:p>
        </w:tc>
        <w:tc>
          <w:tcPr>
            <w:tcW w:w="717" w:type="dxa"/>
            <w:vAlign w:val="center"/>
          </w:tcPr>
          <w:p w14:paraId="0D090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100,0</w:t>
            </w:r>
          </w:p>
        </w:tc>
        <w:tc>
          <w:tcPr>
            <w:tcW w:w="1467" w:type="dxa"/>
            <w:vAlign w:val="center"/>
          </w:tcPr>
          <w:p w14:paraId="14FA1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100,0</w:t>
            </w:r>
          </w:p>
        </w:tc>
      </w:tr>
    </w:tbl>
    <w:p w14:paraId="198E3F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</w:p>
    <w:p w14:paraId="06B2AED6">
      <w:pPr>
        <w:autoSpaceDE w:val="0"/>
        <w:autoSpaceDN w:val="0"/>
        <w:adjustRightInd w:val="0"/>
        <w:spacing w:after="0" w:line="240" w:lineRule="auto"/>
        <w:ind w:left="0" w:leftChars="0" w:firstLine="658" w:firstLineChars="235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Степень достижения плановых значений целевых индикаторов за отчетный период составила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100,0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%. По итогам проведения оценки эффективности реализации муниципальных программ за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год, программа находится на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2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месте. Присвоенная оценка эффективности –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высокая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.</w:t>
      </w:r>
    </w:p>
    <w:p w14:paraId="0B35ED5A">
      <w:pPr>
        <w:autoSpaceDE w:val="0"/>
        <w:autoSpaceDN w:val="0"/>
        <w:adjustRightInd w:val="0"/>
        <w:spacing w:after="0" w:line="240" w:lineRule="auto"/>
        <w:rPr>
          <w:rFonts w:eastAsia="Times New Roman,Bold" w:cs="Times New Roman,Bold"/>
          <w:bCs/>
          <w:iCs/>
          <w:color w:val="000000"/>
          <w:sz w:val="27"/>
          <w:szCs w:val="27"/>
          <w:highlight w:val="none"/>
        </w:rPr>
      </w:pPr>
    </w:p>
    <w:p w14:paraId="2C06EB58">
      <w:pPr>
        <w:pStyle w:val="12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  <w:highlight w:val="none"/>
        </w:rPr>
        <w:t>Муниципальная программа «Развитие культуры в Богородском муни</w:t>
      </w:r>
      <w:r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</w:rPr>
        <w:t>ципальном округе Нижегородской области»</w:t>
      </w:r>
    </w:p>
    <w:p w14:paraId="71D9BE4A">
      <w:pPr>
        <w:pStyle w:val="12"/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Расходы по муниципальной программе исполнены в сумме </w:t>
      </w:r>
      <w:r>
        <w:rPr>
          <w:rFonts w:hint="default" w:ascii="Times New Roman" w:hAnsi="Times New Roman" w:eastAsia="Times New Roman,Bold"/>
          <w:bCs/>
          <w:iCs/>
          <w:color w:val="000000"/>
          <w:sz w:val="28"/>
          <w:szCs w:val="28"/>
        </w:rPr>
        <w:t>2</w:t>
      </w:r>
      <w:r>
        <w:rPr>
          <w:rFonts w:hint="default" w:ascii="Times New Roman" w:hAnsi="Times New Roman" w:eastAsia="Times New Roman,Bold"/>
          <w:bCs/>
          <w:iCs/>
          <w:color w:val="000000"/>
          <w:sz w:val="28"/>
          <w:szCs w:val="28"/>
          <w:lang w:val="ru-RU"/>
        </w:rPr>
        <w:t xml:space="preserve">31 776,95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тыс.рублей или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100,0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 от уточненного годового плана. </w:t>
      </w:r>
    </w:p>
    <w:p w14:paraId="2299CF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Доля расходов по программе в общей сумме программных расходов бюджета округа составляет по кассовому исполнению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5,5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%.</w:t>
      </w:r>
    </w:p>
    <w:p w14:paraId="1B7FF9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Информация о структуре финансирования подпрограмм в рамках муниципальной программы и кассовом исполнении представлена в таблице. </w:t>
      </w:r>
    </w:p>
    <w:p w14:paraId="6F7CA9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  <w:t>Таблица № 15</w:t>
      </w:r>
    </w:p>
    <w:tbl>
      <w:tblPr>
        <w:tblStyle w:val="10"/>
        <w:tblW w:w="946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1276"/>
        <w:gridCol w:w="749"/>
        <w:gridCol w:w="1250"/>
        <w:gridCol w:w="783"/>
        <w:gridCol w:w="1617"/>
      </w:tblGrid>
      <w:tr w14:paraId="690341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Merge w:val="restart"/>
          </w:tcPr>
          <w:p w14:paraId="44663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Наименование подпрограммы</w:t>
            </w:r>
          </w:p>
          <w:p w14:paraId="757BB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025" w:type="dxa"/>
            <w:gridSpan w:val="2"/>
          </w:tcPr>
          <w:p w14:paraId="12CFB9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Уточненный план на 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 год</w:t>
            </w:r>
          </w:p>
          <w:p w14:paraId="6ACDC1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033" w:type="dxa"/>
            <w:gridSpan w:val="2"/>
          </w:tcPr>
          <w:p w14:paraId="0ACC5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Исполнено за</w:t>
            </w:r>
          </w:p>
          <w:p w14:paraId="46308E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 xml:space="preserve">5 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год</w:t>
            </w:r>
          </w:p>
          <w:p w14:paraId="1DD9D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617" w:type="dxa"/>
            <w:vMerge w:val="restart"/>
          </w:tcPr>
          <w:p w14:paraId="0764B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% исполнения к годовым назначениям</w:t>
            </w:r>
          </w:p>
          <w:p w14:paraId="33D3D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14:paraId="6A2B96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Merge w:val="continue"/>
          </w:tcPr>
          <w:p w14:paraId="0F1E15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86EC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тыс.рублей</w:t>
            </w:r>
          </w:p>
          <w:p w14:paraId="3192D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49" w:type="dxa"/>
          </w:tcPr>
          <w:p w14:paraId="3807C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доля,%</w:t>
            </w:r>
          </w:p>
          <w:p w14:paraId="490A7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4EA5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тыс.рублей</w:t>
            </w:r>
          </w:p>
          <w:p w14:paraId="688A4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83" w:type="dxa"/>
          </w:tcPr>
          <w:p w14:paraId="55BC11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доля,%</w:t>
            </w:r>
          </w:p>
          <w:p w14:paraId="1DE23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617" w:type="dxa"/>
            <w:vMerge w:val="continue"/>
          </w:tcPr>
          <w:p w14:paraId="4C22E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14:paraId="22EACE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94" w:type="dxa"/>
            <w:vAlign w:val="center"/>
          </w:tcPr>
          <w:p w14:paraId="53A3D215">
            <w:pPr>
              <w:spacing w:after="0" w:line="240" w:lineRule="auto"/>
              <w:textAlignment w:val="center"/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val="en-US" w:eastAsia="zh-CN"/>
              </w:rPr>
              <w:t>"Библиотечное обслуживание населения"</w:t>
            </w: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</w:p>
          <w:p w14:paraId="7E4CFD90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9DB59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490,36</w:t>
            </w:r>
          </w:p>
        </w:tc>
        <w:tc>
          <w:tcPr>
            <w:tcW w:w="749" w:type="dxa"/>
            <w:vAlign w:val="center"/>
          </w:tcPr>
          <w:p w14:paraId="47A3F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16,2</w:t>
            </w:r>
          </w:p>
        </w:tc>
        <w:tc>
          <w:tcPr>
            <w:tcW w:w="1250" w:type="dxa"/>
            <w:vAlign w:val="center"/>
          </w:tcPr>
          <w:p w14:paraId="4C1022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490,36</w:t>
            </w:r>
          </w:p>
        </w:tc>
        <w:tc>
          <w:tcPr>
            <w:tcW w:w="783" w:type="dxa"/>
            <w:vAlign w:val="center"/>
          </w:tcPr>
          <w:p w14:paraId="28C83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16,2</w:t>
            </w:r>
          </w:p>
        </w:tc>
        <w:tc>
          <w:tcPr>
            <w:tcW w:w="1617" w:type="dxa"/>
            <w:vAlign w:val="center"/>
          </w:tcPr>
          <w:p w14:paraId="0AB56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100,0</w:t>
            </w:r>
          </w:p>
        </w:tc>
      </w:tr>
      <w:tr w14:paraId="37615C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 w14:paraId="0639CE53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  <w:t>"Организация досуга и предоставление услуг учреждениями культуры"</w:t>
            </w:r>
          </w:p>
        </w:tc>
        <w:tc>
          <w:tcPr>
            <w:tcW w:w="1276" w:type="dxa"/>
            <w:vAlign w:val="center"/>
          </w:tcPr>
          <w:p w14:paraId="26455B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203,68</w:t>
            </w:r>
          </w:p>
        </w:tc>
        <w:tc>
          <w:tcPr>
            <w:tcW w:w="749" w:type="dxa"/>
            <w:vAlign w:val="center"/>
          </w:tcPr>
          <w:p w14:paraId="3D514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51,4</w:t>
            </w:r>
          </w:p>
        </w:tc>
        <w:tc>
          <w:tcPr>
            <w:tcW w:w="1250" w:type="dxa"/>
            <w:vAlign w:val="center"/>
          </w:tcPr>
          <w:p w14:paraId="1A239D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203,68</w:t>
            </w:r>
          </w:p>
        </w:tc>
        <w:tc>
          <w:tcPr>
            <w:tcW w:w="783" w:type="dxa"/>
            <w:vAlign w:val="center"/>
          </w:tcPr>
          <w:p w14:paraId="507FF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51,4</w:t>
            </w:r>
          </w:p>
        </w:tc>
        <w:tc>
          <w:tcPr>
            <w:tcW w:w="1617" w:type="dxa"/>
            <w:vAlign w:val="center"/>
          </w:tcPr>
          <w:p w14:paraId="3A1E8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100,0</w:t>
            </w:r>
          </w:p>
        </w:tc>
      </w:tr>
      <w:tr w14:paraId="5D22A0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94" w:type="dxa"/>
            <w:vAlign w:val="center"/>
          </w:tcPr>
          <w:p w14:paraId="7881A902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val="en-US" w:eastAsia="zh-CN"/>
              </w:rPr>
              <w:t>"Музейное обслуживание населения"</w:t>
            </w:r>
          </w:p>
        </w:tc>
        <w:tc>
          <w:tcPr>
            <w:tcW w:w="1276" w:type="dxa"/>
            <w:vAlign w:val="center"/>
          </w:tcPr>
          <w:p w14:paraId="30BF64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404,55</w:t>
            </w:r>
          </w:p>
        </w:tc>
        <w:tc>
          <w:tcPr>
            <w:tcW w:w="749" w:type="dxa"/>
            <w:vAlign w:val="center"/>
          </w:tcPr>
          <w:p w14:paraId="00D23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1,9</w:t>
            </w:r>
          </w:p>
        </w:tc>
        <w:tc>
          <w:tcPr>
            <w:tcW w:w="1250" w:type="dxa"/>
            <w:vAlign w:val="center"/>
          </w:tcPr>
          <w:p w14:paraId="21076A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404,55</w:t>
            </w:r>
          </w:p>
        </w:tc>
        <w:tc>
          <w:tcPr>
            <w:tcW w:w="783" w:type="dxa"/>
            <w:vAlign w:val="center"/>
          </w:tcPr>
          <w:p w14:paraId="61B85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1,9</w:t>
            </w:r>
          </w:p>
        </w:tc>
        <w:tc>
          <w:tcPr>
            <w:tcW w:w="1617" w:type="dxa"/>
            <w:vAlign w:val="center"/>
          </w:tcPr>
          <w:p w14:paraId="04141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100,0</w:t>
            </w:r>
          </w:p>
        </w:tc>
      </w:tr>
      <w:tr w14:paraId="7F5ACE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 w14:paraId="326CA748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val="en-US" w:eastAsia="zh-CN"/>
              </w:rPr>
              <w:t>"Предоставление дополнительного образования"</w:t>
            </w:r>
          </w:p>
        </w:tc>
        <w:tc>
          <w:tcPr>
            <w:tcW w:w="1276" w:type="dxa"/>
            <w:vAlign w:val="center"/>
          </w:tcPr>
          <w:p w14:paraId="589520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170,53</w:t>
            </w:r>
          </w:p>
        </w:tc>
        <w:tc>
          <w:tcPr>
            <w:tcW w:w="749" w:type="dxa"/>
            <w:vAlign w:val="center"/>
          </w:tcPr>
          <w:p w14:paraId="037A3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25,5</w:t>
            </w:r>
          </w:p>
        </w:tc>
        <w:tc>
          <w:tcPr>
            <w:tcW w:w="1250" w:type="dxa"/>
            <w:vAlign w:val="center"/>
          </w:tcPr>
          <w:p w14:paraId="414EF9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170,53</w:t>
            </w:r>
          </w:p>
        </w:tc>
        <w:tc>
          <w:tcPr>
            <w:tcW w:w="783" w:type="dxa"/>
            <w:vAlign w:val="center"/>
          </w:tcPr>
          <w:p w14:paraId="06166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25,5</w:t>
            </w:r>
          </w:p>
        </w:tc>
        <w:tc>
          <w:tcPr>
            <w:tcW w:w="1617" w:type="dxa"/>
            <w:vAlign w:val="center"/>
          </w:tcPr>
          <w:p w14:paraId="7667B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100,0</w:t>
            </w:r>
          </w:p>
        </w:tc>
      </w:tr>
      <w:tr w14:paraId="2DCE2A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 w14:paraId="66282E08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  <w:t>"Реализация мероприятий, направленных на обеспечение деятельности подведомственных учреждений"</w:t>
            </w:r>
          </w:p>
        </w:tc>
        <w:tc>
          <w:tcPr>
            <w:tcW w:w="1276" w:type="dxa"/>
            <w:vAlign w:val="center"/>
          </w:tcPr>
          <w:p w14:paraId="69FECA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7257,87</w:t>
            </w:r>
          </w:p>
        </w:tc>
        <w:tc>
          <w:tcPr>
            <w:tcW w:w="749" w:type="dxa"/>
            <w:vAlign w:val="center"/>
          </w:tcPr>
          <w:p w14:paraId="1807D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3,1</w:t>
            </w:r>
          </w:p>
        </w:tc>
        <w:tc>
          <w:tcPr>
            <w:tcW w:w="1250" w:type="dxa"/>
            <w:vAlign w:val="center"/>
          </w:tcPr>
          <w:p w14:paraId="0EED01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7238,08</w:t>
            </w:r>
          </w:p>
        </w:tc>
        <w:tc>
          <w:tcPr>
            <w:tcW w:w="783" w:type="dxa"/>
            <w:vAlign w:val="center"/>
          </w:tcPr>
          <w:p w14:paraId="600B3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3,1</w:t>
            </w:r>
          </w:p>
        </w:tc>
        <w:tc>
          <w:tcPr>
            <w:tcW w:w="1617" w:type="dxa"/>
            <w:vAlign w:val="center"/>
          </w:tcPr>
          <w:p w14:paraId="61950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99,7</w:t>
            </w:r>
          </w:p>
        </w:tc>
      </w:tr>
      <w:tr w14:paraId="795BF4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794" w:type="dxa"/>
            <w:vAlign w:val="center"/>
          </w:tcPr>
          <w:p w14:paraId="1D50DE42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val="en-US" w:eastAsia="zh-CN"/>
              </w:rPr>
              <w:t>"Обеспечение реализации муниципальной программы"</w:t>
            </w:r>
          </w:p>
        </w:tc>
        <w:tc>
          <w:tcPr>
            <w:tcW w:w="1276" w:type="dxa"/>
            <w:vAlign w:val="center"/>
          </w:tcPr>
          <w:p w14:paraId="53DB8D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270,03</w:t>
            </w:r>
          </w:p>
        </w:tc>
        <w:tc>
          <w:tcPr>
            <w:tcW w:w="749" w:type="dxa"/>
            <w:vAlign w:val="center"/>
          </w:tcPr>
          <w:p w14:paraId="3E947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1,8</w:t>
            </w:r>
          </w:p>
        </w:tc>
        <w:tc>
          <w:tcPr>
            <w:tcW w:w="1250" w:type="dxa"/>
            <w:vAlign w:val="center"/>
          </w:tcPr>
          <w:p w14:paraId="527C9F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269,75</w:t>
            </w:r>
          </w:p>
        </w:tc>
        <w:tc>
          <w:tcPr>
            <w:tcW w:w="783" w:type="dxa"/>
            <w:vAlign w:val="center"/>
          </w:tcPr>
          <w:p w14:paraId="6BA68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1,8</w:t>
            </w:r>
          </w:p>
        </w:tc>
        <w:tc>
          <w:tcPr>
            <w:tcW w:w="1617" w:type="dxa"/>
            <w:vAlign w:val="center"/>
          </w:tcPr>
          <w:p w14:paraId="2B59F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100,0</w:t>
            </w:r>
          </w:p>
        </w:tc>
      </w:tr>
      <w:tr w14:paraId="1BF623F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bottom"/>
          </w:tcPr>
          <w:p w14:paraId="58055A37">
            <w:pPr>
              <w:spacing w:after="0" w:line="240" w:lineRule="auto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14:paraId="21295B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797,02</w:t>
            </w:r>
          </w:p>
        </w:tc>
        <w:tc>
          <w:tcPr>
            <w:tcW w:w="749" w:type="dxa"/>
            <w:vAlign w:val="center"/>
          </w:tcPr>
          <w:p w14:paraId="5DB94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100,0</w:t>
            </w:r>
          </w:p>
        </w:tc>
        <w:tc>
          <w:tcPr>
            <w:tcW w:w="1250" w:type="dxa"/>
            <w:vAlign w:val="center"/>
          </w:tcPr>
          <w:p w14:paraId="2923B5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776,95</w:t>
            </w:r>
          </w:p>
        </w:tc>
        <w:tc>
          <w:tcPr>
            <w:tcW w:w="783" w:type="dxa"/>
            <w:vAlign w:val="center"/>
          </w:tcPr>
          <w:p w14:paraId="2EBE4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100,0</w:t>
            </w:r>
          </w:p>
        </w:tc>
        <w:tc>
          <w:tcPr>
            <w:tcW w:w="1617" w:type="dxa"/>
            <w:vAlign w:val="center"/>
          </w:tcPr>
          <w:p w14:paraId="1268D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100,0</w:t>
            </w:r>
          </w:p>
        </w:tc>
      </w:tr>
    </w:tbl>
    <w:p w14:paraId="390E30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</w:p>
    <w:p w14:paraId="4C6EDE35">
      <w:pPr>
        <w:autoSpaceDE w:val="0"/>
        <w:autoSpaceDN w:val="0"/>
        <w:adjustRightInd w:val="0"/>
        <w:spacing w:after="0" w:line="240" w:lineRule="auto"/>
        <w:ind w:left="0" w:leftChars="0" w:firstLine="658" w:firstLineChars="235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Степень достижения плановых значений целевых индикаторов за отчетный период составила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96,3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%. По итогам проведения оценки эффективности реализации муниципальных программ за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год, программа находится на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10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месте. Присвоенная оценка эффективности – высокая.</w:t>
      </w:r>
    </w:p>
    <w:p w14:paraId="1A27AE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</w:p>
    <w:p w14:paraId="2F72443F">
      <w:pPr>
        <w:pStyle w:val="12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</w:rPr>
        <w:t>Муниципальная программа «</w:t>
      </w:r>
      <w:r>
        <w:rPr>
          <w:rFonts w:ascii="Times New Roman" w:hAnsi="Times New Roman" w:cs="Times New Roman"/>
          <w:bCs/>
          <w:i/>
          <w:sz w:val="28"/>
          <w:szCs w:val="28"/>
        </w:rPr>
        <w:t>Развитие физической культуры и спорта в Богородском муниципальном округе Нижегородской области»</w:t>
      </w:r>
    </w:p>
    <w:p w14:paraId="4BF42A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Расходы по муниципальной программе исполнены в сумме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126 315,39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тыс.рублей или 99,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8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% от уточненного годового плана. </w:t>
      </w:r>
    </w:p>
    <w:p w14:paraId="5C842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Доля расходов по программе в общей сумме программных расходов бюджета округа составляет по кассовому исполнению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3,0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%.</w:t>
      </w:r>
    </w:p>
    <w:p w14:paraId="3D10E5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Информация о структуре финансирования и кассовом исполнении подпрограмм в рамках муниципальной программы  представлена в таблице.</w:t>
      </w:r>
    </w:p>
    <w:p w14:paraId="52CAEF0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</w:pPr>
    </w:p>
    <w:p w14:paraId="74C9AF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  <w:t>Таблица № 16</w:t>
      </w:r>
    </w:p>
    <w:tbl>
      <w:tblPr>
        <w:tblStyle w:val="10"/>
        <w:tblW w:w="943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1276"/>
        <w:gridCol w:w="865"/>
        <w:gridCol w:w="1300"/>
        <w:gridCol w:w="817"/>
        <w:gridCol w:w="1383"/>
      </w:tblGrid>
      <w:tr w14:paraId="2A760E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3794" w:type="dxa"/>
            <w:vMerge w:val="restart"/>
          </w:tcPr>
          <w:p w14:paraId="031D6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Наименование подпрограммы</w:t>
            </w:r>
          </w:p>
          <w:p w14:paraId="44A7E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41" w:type="dxa"/>
            <w:gridSpan w:val="2"/>
          </w:tcPr>
          <w:p w14:paraId="289F9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Уточненный план на 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2117" w:type="dxa"/>
            <w:gridSpan w:val="2"/>
          </w:tcPr>
          <w:p w14:paraId="3D7C0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Исполнено за</w:t>
            </w:r>
          </w:p>
          <w:p w14:paraId="73D10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 год</w:t>
            </w:r>
          </w:p>
          <w:p w14:paraId="20761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vMerge w:val="restart"/>
          </w:tcPr>
          <w:p w14:paraId="50CC3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% исполнения к годовым назначениям</w:t>
            </w:r>
          </w:p>
          <w:p w14:paraId="71ECEA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14:paraId="568FF7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794" w:type="dxa"/>
            <w:vMerge w:val="continue"/>
          </w:tcPr>
          <w:p w14:paraId="3BA248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9A2A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тыс.рублей</w:t>
            </w:r>
          </w:p>
          <w:p w14:paraId="79F73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</w:tcPr>
          <w:p w14:paraId="0F729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доля, %</w:t>
            </w:r>
          </w:p>
        </w:tc>
        <w:tc>
          <w:tcPr>
            <w:tcW w:w="1300" w:type="dxa"/>
          </w:tcPr>
          <w:p w14:paraId="163E5C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тыс.рублей</w:t>
            </w:r>
          </w:p>
          <w:p w14:paraId="2D4C5E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</w:tcPr>
          <w:p w14:paraId="700E8B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доля, %</w:t>
            </w:r>
          </w:p>
        </w:tc>
        <w:tc>
          <w:tcPr>
            <w:tcW w:w="1383" w:type="dxa"/>
            <w:vMerge w:val="continue"/>
          </w:tcPr>
          <w:p w14:paraId="1008A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14:paraId="7C4B86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 w14:paraId="79AB2C21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  <w:t>"Развитие физической культуры, массового спорта и организация проведения физкультурно-оздоровительных и спортивных мероприятий"</w:t>
            </w:r>
          </w:p>
        </w:tc>
        <w:tc>
          <w:tcPr>
            <w:tcW w:w="1276" w:type="dxa"/>
            <w:vAlign w:val="center"/>
          </w:tcPr>
          <w:p w14:paraId="660CF7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268,9</w:t>
            </w:r>
          </w:p>
        </w:tc>
        <w:tc>
          <w:tcPr>
            <w:tcW w:w="865" w:type="dxa"/>
            <w:vAlign w:val="center"/>
          </w:tcPr>
          <w:p w14:paraId="79823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96,6</w:t>
            </w:r>
          </w:p>
        </w:tc>
        <w:tc>
          <w:tcPr>
            <w:tcW w:w="1300" w:type="dxa"/>
            <w:vAlign w:val="center"/>
          </w:tcPr>
          <w:p w14:paraId="270D2E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055,38</w:t>
            </w:r>
          </w:p>
        </w:tc>
        <w:tc>
          <w:tcPr>
            <w:tcW w:w="817" w:type="dxa"/>
            <w:vAlign w:val="center"/>
          </w:tcPr>
          <w:p w14:paraId="7832B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96,6</w:t>
            </w:r>
          </w:p>
        </w:tc>
        <w:tc>
          <w:tcPr>
            <w:tcW w:w="1383" w:type="dxa"/>
            <w:vAlign w:val="center"/>
          </w:tcPr>
          <w:p w14:paraId="2A8D5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99,8</w:t>
            </w:r>
          </w:p>
        </w:tc>
      </w:tr>
      <w:tr w14:paraId="702942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 w14:paraId="1268BD41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val="en-US" w:eastAsia="zh-CN"/>
              </w:rPr>
              <w:t>"Обеспечение реализации муниципальной программы"</w:t>
            </w:r>
          </w:p>
        </w:tc>
        <w:tc>
          <w:tcPr>
            <w:tcW w:w="1276" w:type="dxa"/>
            <w:vAlign w:val="center"/>
          </w:tcPr>
          <w:p w14:paraId="426423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4260,14</w:t>
            </w:r>
          </w:p>
        </w:tc>
        <w:tc>
          <w:tcPr>
            <w:tcW w:w="865" w:type="dxa"/>
            <w:vAlign w:val="center"/>
          </w:tcPr>
          <w:p w14:paraId="3BC73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3,4</w:t>
            </w:r>
          </w:p>
        </w:tc>
        <w:tc>
          <w:tcPr>
            <w:tcW w:w="1300" w:type="dxa"/>
            <w:vAlign w:val="center"/>
          </w:tcPr>
          <w:p w14:paraId="418424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4260,01</w:t>
            </w:r>
          </w:p>
        </w:tc>
        <w:tc>
          <w:tcPr>
            <w:tcW w:w="817" w:type="dxa"/>
            <w:vAlign w:val="center"/>
          </w:tcPr>
          <w:p w14:paraId="09B00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3,4</w:t>
            </w:r>
          </w:p>
        </w:tc>
        <w:tc>
          <w:tcPr>
            <w:tcW w:w="1383" w:type="dxa"/>
            <w:vAlign w:val="center"/>
          </w:tcPr>
          <w:p w14:paraId="41AAF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100,0</w:t>
            </w:r>
          </w:p>
        </w:tc>
      </w:tr>
      <w:tr w14:paraId="390161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 w14:paraId="25290749">
            <w:pPr>
              <w:spacing w:after="0" w:line="240" w:lineRule="auto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14:paraId="543898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529,04</w:t>
            </w:r>
          </w:p>
        </w:tc>
        <w:tc>
          <w:tcPr>
            <w:tcW w:w="865" w:type="dxa"/>
            <w:vAlign w:val="center"/>
          </w:tcPr>
          <w:p w14:paraId="59046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100,0</w:t>
            </w:r>
          </w:p>
        </w:tc>
        <w:tc>
          <w:tcPr>
            <w:tcW w:w="1300" w:type="dxa"/>
            <w:vAlign w:val="center"/>
          </w:tcPr>
          <w:p w14:paraId="57FF9D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315,39</w:t>
            </w:r>
          </w:p>
        </w:tc>
        <w:tc>
          <w:tcPr>
            <w:tcW w:w="817" w:type="dxa"/>
            <w:vAlign w:val="center"/>
          </w:tcPr>
          <w:p w14:paraId="2A3D9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100,0</w:t>
            </w:r>
          </w:p>
        </w:tc>
        <w:tc>
          <w:tcPr>
            <w:tcW w:w="1383" w:type="dxa"/>
            <w:vAlign w:val="center"/>
          </w:tcPr>
          <w:p w14:paraId="55D3C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99,8</w:t>
            </w:r>
          </w:p>
        </w:tc>
      </w:tr>
    </w:tbl>
    <w:p w14:paraId="1C5CC6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</w:p>
    <w:p w14:paraId="57D76481">
      <w:pPr>
        <w:autoSpaceDE w:val="0"/>
        <w:autoSpaceDN w:val="0"/>
        <w:adjustRightInd w:val="0"/>
        <w:spacing w:after="0" w:line="240" w:lineRule="auto"/>
        <w:ind w:left="0" w:leftChars="0" w:firstLine="658" w:firstLineChars="235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Степень достижения плановых значений целевых индикаторов за отчетный период составила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75,7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%. По итогам проведения оценки эффективности реализации муниципальных программ за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год, программа находится на 1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месте. Присвоенная оценка эффективности –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средняя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.</w:t>
      </w:r>
    </w:p>
    <w:p w14:paraId="6BBA5B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</w:p>
    <w:p w14:paraId="6D63EF7F">
      <w:pPr>
        <w:pStyle w:val="12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</w:rPr>
        <w:t>Муниципальная программа «</w:t>
      </w:r>
      <w:r>
        <w:rPr>
          <w:rFonts w:ascii="Times New Roman" w:hAnsi="Times New Roman" w:cs="Times New Roman"/>
          <w:bCs/>
          <w:i/>
          <w:sz w:val="28"/>
          <w:szCs w:val="28"/>
        </w:rPr>
        <w:t>Развитие агропромышленного комплекса Богородского муниципального округа Нижегородской области»</w:t>
      </w:r>
    </w:p>
    <w:p w14:paraId="00EC2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Расходы по муниципальной программе исполнены в сумме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133 754,36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тыс.рублей или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99,3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 от уточненного годового плана. </w:t>
      </w:r>
    </w:p>
    <w:p w14:paraId="3C71D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Большую часть расходов (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90,2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%) данной программы составляют расходы за счет средств областного и федерального бюджетов.</w:t>
      </w:r>
    </w:p>
    <w:p w14:paraId="7EE9B014">
      <w:pPr>
        <w:autoSpaceDE w:val="0"/>
        <w:autoSpaceDN w:val="0"/>
        <w:adjustRightInd w:val="0"/>
        <w:spacing w:after="0" w:line="240" w:lineRule="auto"/>
        <w:ind w:firstLine="658" w:firstLineChars="235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Доля расходов по программе в общей сумме программных расходов бюджета округа составляет по кассовому исполнению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4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,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%.</w:t>
      </w:r>
    </w:p>
    <w:p w14:paraId="05158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Информация о структуре финансирования и кассовом исполнении подпрограмм в рамках муниципальной программы  представлена в Таблице.</w:t>
      </w:r>
    </w:p>
    <w:p w14:paraId="170392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  <w:t>Таблица № 17</w:t>
      </w:r>
    </w:p>
    <w:tbl>
      <w:tblPr>
        <w:tblStyle w:val="10"/>
        <w:tblW w:w="960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1276"/>
        <w:gridCol w:w="1134"/>
        <w:gridCol w:w="1417"/>
        <w:gridCol w:w="851"/>
        <w:gridCol w:w="1134"/>
      </w:tblGrid>
      <w:tr w14:paraId="1C540C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94" w:type="dxa"/>
            <w:vMerge w:val="restart"/>
          </w:tcPr>
          <w:p w14:paraId="57B58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2410" w:type="dxa"/>
            <w:gridSpan w:val="2"/>
          </w:tcPr>
          <w:p w14:paraId="76387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Уточненный план на 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2268" w:type="dxa"/>
            <w:gridSpan w:val="2"/>
          </w:tcPr>
          <w:p w14:paraId="23515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Исполнено за</w:t>
            </w:r>
          </w:p>
          <w:p w14:paraId="5F744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Merge w:val="restart"/>
          </w:tcPr>
          <w:p w14:paraId="1E6102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% исполнения к годовому плану </w:t>
            </w:r>
          </w:p>
        </w:tc>
      </w:tr>
      <w:tr w14:paraId="59D001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Merge w:val="continue"/>
          </w:tcPr>
          <w:p w14:paraId="1F95B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8C1F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тыс.рублей</w:t>
            </w:r>
          </w:p>
          <w:p w14:paraId="07FDA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800E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доля,%</w:t>
            </w:r>
          </w:p>
          <w:p w14:paraId="799FE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7BD88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тыс.рублей</w:t>
            </w:r>
          </w:p>
          <w:p w14:paraId="1393E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4B39E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доля,%</w:t>
            </w:r>
          </w:p>
          <w:p w14:paraId="7D055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continue"/>
          </w:tcPr>
          <w:p w14:paraId="0B3B5F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14:paraId="2F15B7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 w14:paraId="44724B55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  <w:t>"Развитие сельского хозяйства, пищевой и перерабатывающей промышленности Богородского муниципального округа Нижегородской области"</w:t>
            </w:r>
          </w:p>
        </w:tc>
        <w:tc>
          <w:tcPr>
            <w:tcW w:w="1276" w:type="dxa"/>
            <w:vAlign w:val="center"/>
          </w:tcPr>
          <w:p w14:paraId="66EA14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235,77</w:t>
            </w:r>
          </w:p>
        </w:tc>
        <w:tc>
          <w:tcPr>
            <w:tcW w:w="1134" w:type="dxa"/>
            <w:vAlign w:val="center"/>
          </w:tcPr>
          <w:p w14:paraId="45404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70,7</w:t>
            </w:r>
          </w:p>
        </w:tc>
        <w:tc>
          <w:tcPr>
            <w:tcW w:w="1417" w:type="dxa"/>
            <w:vAlign w:val="center"/>
          </w:tcPr>
          <w:p w14:paraId="1F68C0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506,03</w:t>
            </w:r>
          </w:p>
        </w:tc>
        <w:tc>
          <w:tcPr>
            <w:tcW w:w="851" w:type="dxa"/>
            <w:vAlign w:val="center"/>
          </w:tcPr>
          <w:p w14:paraId="67BED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70,7</w:t>
            </w:r>
          </w:p>
        </w:tc>
        <w:tc>
          <w:tcPr>
            <w:tcW w:w="1134" w:type="dxa"/>
            <w:vAlign w:val="center"/>
          </w:tcPr>
          <w:p w14:paraId="7B241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99,2</w:t>
            </w:r>
          </w:p>
        </w:tc>
      </w:tr>
      <w:tr w14:paraId="521D86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3794" w:type="dxa"/>
            <w:vAlign w:val="center"/>
          </w:tcPr>
          <w:p w14:paraId="5D1E58C3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  <w:t>"Устойчивое развитие сельских территорий Богородского муниципального округа Нижегородской области"</w:t>
            </w:r>
          </w:p>
        </w:tc>
        <w:tc>
          <w:tcPr>
            <w:tcW w:w="1276" w:type="dxa"/>
            <w:vAlign w:val="center"/>
          </w:tcPr>
          <w:p w14:paraId="2F6467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538,77</w:t>
            </w:r>
          </w:p>
        </w:tc>
        <w:tc>
          <w:tcPr>
            <w:tcW w:w="1134" w:type="dxa"/>
            <w:vAlign w:val="center"/>
          </w:tcPr>
          <w:p w14:paraId="7433F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21,2</w:t>
            </w:r>
          </w:p>
        </w:tc>
        <w:tc>
          <w:tcPr>
            <w:tcW w:w="1417" w:type="dxa"/>
            <w:vAlign w:val="center"/>
          </w:tcPr>
          <w:p w14:paraId="1C1EC1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292,77</w:t>
            </w:r>
          </w:p>
        </w:tc>
        <w:tc>
          <w:tcPr>
            <w:tcW w:w="851" w:type="dxa"/>
            <w:vAlign w:val="center"/>
          </w:tcPr>
          <w:p w14:paraId="5A059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21,2</w:t>
            </w:r>
          </w:p>
        </w:tc>
        <w:tc>
          <w:tcPr>
            <w:tcW w:w="1134" w:type="dxa"/>
            <w:vAlign w:val="center"/>
          </w:tcPr>
          <w:p w14:paraId="2E27B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99,1</w:t>
            </w:r>
          </w:p>
        </w:tc>
      </w:tr>
      <w:tr w14:paraId="41B276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 w14:paraId="21815A07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276" w:type="dxa"/>
            <w:vAlign w:val="center"/>
          </w:tcPr>
          <w:p w14:paraId="77FDB3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958,38</w:t>
            </w:r>
          </w:p>
        </w:tc>
        <w:tc>
          <w:tcPr>
            <w:tcW w:w="1134" w:type="dxa"/>
            <w:vAlign w:val="center"/>
          </w:tcPr>
          <w:p w14:paraId="5A812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8,1</w:t>
            </w:r>
          </w:p>
        </w:tc>
        <w:tc>
          <w:tcPr>
            <w:tcW w:w="1417" w:type="dxa"/>
            <w:vAlign w:val="center"/>
          </w:tcPr>
          <w:p w14:paraId="28FA0F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955,56</w:t>
            </w:r>
          </w:p>
        </w:tc>
        <w:tc>
          <w:tcPr>
            <w:tcW w:w="851" w:type="dxa"/>
            <w:vAlign w:val="center"/>
          </w:tcPr>
          <w:p w14:paraId="5E625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8,2</w:t>
            </w:r>
          </w:p>
        </w:tc>
        <w:tc>
          <w:tcPr>
            <w:tcW w:w="1134" w:type="dxa"/>
            <w:vAlign w:val="center"/>
          </w:tcPr>
          <w:p w14:paraId="64D2E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100,0</w:t>
            </w:r>
          </w:p>
        </w:tc>
      </w:tr>
      <w:tr w14:paraId="190CFB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 w14:paraId="21EE7136">
            <w:pPr>
              <w:spacing w:after="0" w:line="240" w:lineRule="auto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14:paraId="435F42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732,92</w:t>
            </w:r>
          </w:p>
        </w:tc>
        <w:tc>
          <w:tcPr>
            <w:tcW w:w="1134" w:type="dxa"/>
            <w:vAlign w:val="center"/>
          </w:tcPr>
          <w:p w14:paraId="4359A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100,0</w:t>
            </w:r>
          </w:p>
        </w:tc>
        <w:tc>
          <w:tcPr>
            <w:tcW w:w="1417" w:type="dxa"/>
            <w:vAlign w:val="center"/>
          </w:tcPr>
          <w:p w14:paraId="1727A1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754,36</w:t>
            </w:r>
          </w:p>
        </w:tc>
        <w:tc>
          <w:tcPr>
            <w:tcW w:w="851" w:type="dxa"/>
            <w:vAlign w:val="center"/>
          </w:tcPr>
          <w:p w14:paraId="33AA7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100,0</w:t>
            </w:r>
          </w:p>
        </w:tc>
        <w:tc>
          <w:tcPr>
            <w:tcW w:w="1134" w:type="dxa"/>
            <w:vAlign w:val="center"/>
          </w:tcPr>
          <w:p w14:paraId="7B695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99,3</w:t>
            </w:r>
          </w:p>
        </w:tc>
      </w:tr>
    </w:tbl>
    <w:p w14:paraId="158271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</w:p>
    <w:p w14:paraId="51EFF4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Степень достижения плановых значений целевых индикаторов за отчетный период составила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100,0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%. По итогам проведения оценки эффективности реализации муниципальных программ за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год, программа находится на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8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месте. Присвоенная оценка эффективности – высокая.</w:t>
      </w:r>
    </w:p>
    <w:p w14:paraId="3194AF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</w:p>
    <w:p w14:paraId="6CAEF3AB">
      <w:pPr>
        <w:pStyle w:val="12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</w:rPr>
        <w:t>Муниципальная программа «</w:t>
      </w:r>
      <w:r>
        <w:rPr>
          <w:rFonts w:ascii="Times New Roman" w:hAnsi="Times New Roman" w:cs="Times New Roman"/>
          <w:bCs/>
          <w:i/>
          <w:sz w:val="28"/>
          <w:szCs w:val="28"/>
        </w:rPr>
        <w:t>Управление муниципальными финансами и муниципальным долгом Богородского муниципального округа Нижегородской области»</w:t>
      </w:r>
    </w:p>
    <w:p w14:paraId="7614E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Расходы по муниципальной программе исполнены в сумме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44 126,89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тыс.рублей или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97,7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 от уточненного годового плана. </w:t>
      </w:r>
    </w:p>
    <w:p w14:paraId="583275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Доля расходов по программе в общей сумме программных расходов  бюджета округа составляет по кассовому исполнению 1,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1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%.</w:t>
      </w:r>
    </w:p>
    <w:p w14:paraId="273F41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Информация о структуре финансирования и кассовом исполнении подпрограмм в рамках муниципальной программы  представлена в таблице.</w:t>
      </w:r>
    </w:p>
    <w:p w14:paraId="1AD201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,Bold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  <w:t>Таблица № 18</w:t>
      </w:r>
    </w:p>
    <w:tbl>
      <w:tblPr>
        <w:tblStyle w:val="10"/>
        <w:tblW w:w="960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1134"/>
        <w:gridCol w:w="992"/>
        <w:gridCol w:w="1276"/>
        <w:gridCol w:w="992"/>
        <w:gridCol w:w="1418"/>
      </w:tblGrid>
      <w:tr w14:paraId="2B3ECA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Merge w:val="restart"/>
          </w:tcPr>
          <w:p w14:paraId="36C8E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Наименование подпрограммы</w:t>
            </w:r>
          </w:p>
          <w:p w14:paraId="6A091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758D0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Уточненный план на 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 год</w:t>
            </w:r>
          </w:p>
          <w:p w14:paraId="4DE47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CD98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Исполнено за</w:t>
            </w:r>
          </w:p>
          <w:p w14:paraId="136AB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 год</w:t>
            </w:r>
          </w:p>
          <w:p w14:paraId="6834C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7D56F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% исполнения к годовым назначениям</w:t>
            </w:r>
          </w:p>
        </w:tc>
      </w:tr>
      <w:tr w14:paraId="7E3AC6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Merge w:val="continue"/>
          </w:tcPr>
          <w:p w14:paraId="77B3B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6C4A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992" w:type="dxa"/>
          </w:tcPr>
          <w:p w14:paraId="07717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доля,%</w:t>
            </w:r>
          </w:p>
          <w:p w14:paraId="61C50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34C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тыс. </w:t>
            </w:r>
          </w:p>
          <w:p w14:paraId="2C3652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рублей</w:t>
            </w:r>
          </w:p>
        </w:tc>
        <w:tc>
          <w:tcPr>
            <w:tcW w:w="992" w:type="dxa"/>
          </w:tcPr>
          <w:p w14:paraId="38B8C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доля,%</w:t>
            </w:r>
          </w:p>
          <w:p w14:paraId="13620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</w:tcPr>
          <w:p w14:paraId="1836B2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14:paraId="72B9B7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 w14:paraId="46078B1F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  <w:t>"Организация и совершенствование бюджетного процесса Богородского муниципального округа Нижегородской области"</w:t>
            </w:r>
          </w:p>
        </w:tc>
        <w:tc>
          <w:tcPr>
            <w:tcW w:w="1134" w:type="dxa"/>
            <w:vAlign w:val="center"/>
          </w:tcPr>
          <w:p w14:paraId="33A1C5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460,11</w:t>
            </w:r>
          </w:p>
        </w:tc>
        <w:tc>
          <w:tcPr>
            <w:tcW w:w="992" w:type="dxa"/>
            <w:vAlign w:val="center"/>
          </w:tcPr>
          <w:p w14:paraId="58562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43,1 </w:t>
            </w:r>
          </w:p>
        </w:tc>
        <w:tc>
          <w:tcPr>
            <w:tcW w:w="1276" w:type="dxa"/>
            <w:vAlign w:val="center"/>
          </w:tcPr>
          <w:p w14:paraId="44A6228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18427,57</w:t>
            </w:r>
          </w:p>
        </w:tc>
        <w:tc>
          <w:tcPr>
            <w:tcW w:w="992" w:type="dxa"/>
            <w:vAlign w:val="center"/>
          </w:tcPr>
          <w:p w14:paraId="6EB87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41,8 </w:t>
            </w:r>
          </w:p>
        </w:tc>
        <w:tc>
          <w:tcPr>
            <w:tcW w:w="1418" w:type="dxa"/>
            <w:vAlign w:val="center"/>
          </w:tcPr>
          <w:p w14:paraId="0DF81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94,7 </w:t>
            </w:r>
          </w:p>
        </w:tc>
      </w:tr>
      <w:tr w14:paraId="4FFC7C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 w14:paraId="137B57E8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val="en-US" w:eastAsia="zh-CN"/>
              </w:rPr>
              <w:t>"Обеспечение реализации муниципальной программы"</w:t>
            </w:r>
          </w:p>
        </w:tc>
        <w:tc>
          <w:tcPr>
            <w:tcW w:w="1134" w:type="dxa"/>
            <w:vAlign w:val="center"/>
          </w:tcPr>
          <w:p w14:paraId="76861A9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706,44</w:t>
            </w:r>
          </w:p>
        </w:tc>
        <w:tc>
          <w:tcPr>
            <w:tcW w:w="992" w:type="dxa"/>
            <w:vAlign w:val="center"/>
          </w:tcPr>
          <w:p w14:paraId="149B1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56,9 </w:t>
            </w:r>
          </w:p>
        </w:tc>
        <w:tc>
          <w:tcPr>
            <w:tcW w:w="1276" w:type="dxa"/>
            <w:vAlign w:val="center"/>
          </w:tcPr>
          <w:p w14:paraId="51EA782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699,31</w:t>
            </w:r>
          </w:p>
        </w:tc>
        <w:tc>
          <w:tcPr>
            <w:tcW w:w="992" w:type="dxa"/>
            <w:vAlign w:val="center"/>
          </w:tcPr>
          <w:p w14:paraId="20B37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58,2 </w:t>
            </w:r>
          </w:p>
        </w:tc>
        <w:tc>
          <w:tcPr>
            <w:tcW w:w="1418" w:type="dxa"/>
            <w:vAlign w:val="center"/>
          </w:tcPr>
          <w:p w14:paraId="1C020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 </w:t>
            </w:r>
          </w:p>
        </w:tc>
      </w:tr>
      <w:tr w14:paraId="63FAD09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 w14:paraId="752A9616">
            <w:pPr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41E123D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166,55</w:t>
            </w:r>
          </w:p>
        </w:tc>
        <w:tc>
          <w:tcPr>
            <w:tcW w:w="992" w:type="dxa"/>
            <w:vAlign w:val="center"/>
          </w:tcPr>
          <w:p w14:paraId="0E6F3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 </w:t>
            </w:r>
          </w:p>
        </w:tc>
        <w:tc>
          <w:tcPr>
            <w:tcW w:w="1276" w:type="dxa"/>
            <w:vAlign w:val="center"/>
          </w:tcPr>
          <w:p w14:paraId="307CCF9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126,88</w:t>
            </w:r>
          </w:p>
        </w:tc>
        <w:tc>
          <w:tcPr>
            <w:tcW w:w="992" w:type="dxa"/>
            <w:vAlign w:val="center"/>
          </w:tcPr>
          <w:p w14:paraId="737D7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 </w:t>
            </w:r>
          </w:p>
        </w:tc>
        <w:tc>
          <w:tcPr>
            <w:tcW w:w="1418" w:type="dxa"/>
            <w:vAlign w:val="center"/>
          </w:tcPr>
          <w:p w14:paraId="21382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97,7 </w:t>
            </w:r>
          </w:p>
        </w:tc>
      </w:tr>
    </w:tbl>
    <w:p w14:paraId="128095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Степень достижения плановых значений целевых индикаторов за отчетный период составила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92,5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%. По итогам проведения оценки эффективности реализации муниципальных программ за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год, программа находится на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12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месте. Присвоенная оценка эффективности – высокая.</w:t>
      </w:r>
    </w:p>
    <w:p w14:paraId="6F707D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</w:p>
    <w:p w14:paraId="034FF82E">
      <w:pPr>
        <w:pStyle w:val="12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</w:rPr>
        <w:t>Муниципальная программа «</w:t>
      </w:r>
      <w:r>
        <w:rPr>
          <w:rFonts w:ascii="Times New Roman" w:hAnsi="Times New Roman" w:cs="Times New Roman"/>
          <w:bCs/>
          <w:i/>
          <w:sz w:val="28"/>
          <w:szCs w:val="28"/>
        </w:rPr>
        <w:t>Управление муниципальным имуществом и земельными ресурсами Богородского муниципального округа Нижегородской области»</w:t>
      </w:r>
    </w:p>
    <w:p w14:paraId="305FA1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Расходы по муниципальной программе исполнены в сумме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47 311,51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тыс.рублей или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79,9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 от уточненного годового плана. </w:t>
      </w:r>
    </w:p>
    <w:p w14:paraId="2804E7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Доля расходов по программе в общей сумме программных расходов бюджета округа составляет по кассовому исполнению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1,1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%.</w:t>
      </w:r>
    </w:p>
    <w:p w14:paraId="59949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Информация о структуре финансирования и кассовом исполнении подпрограмм в рамках муниципальной программы  представлена в таблице.</w:t>
      </w:r>
    </w:p>
    <w:p w14:paraId="0AEA5D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</w:pPr>
    </w:p>
    <w:p w14:paraId="4562BA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  <w:t>Таблица № 19</w:t>
      </w:r>
    </w:p>
    <w:tbl>
      <w:tblPr>
        <w:tblStyle w:val="10"/>
        <w:tblW w:w="960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1276"/>
        <w:gridCol w:w="992"/>
        <w:gridCol w:w="1276"/>
        <w:gridCol w:w="1134"/>
        <w:gridCol w:w="1418"/>
      </w:tblGrid>
      <w:tr w14:paraId="49AA52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vMerge w:val="restart"/>
          </w:tcPr>
          <w:p w14:paraId="15AB8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Наименование подпрограммы</w:t>
            </w:r>
          </w:p>
          <w:p w14:paraId="59467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3283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Уточненный план на 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 год</w:t>
            </w:r>
          </w:p>
          <w:p w14:paraId="7A8BF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14:paraId="1E1CB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Исполнено за</w:t>
            </w:r>
          </w:p>
          <w:p w14:paraId="44817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 год</w:t>
            </w:r>
          </w:p>
          <w:p w14:paraId="3EC46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07E0E4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% исполнения к годовым назначениям</w:t>
            </w:r>
          </w:p>
          <w:p w14:paraId="3CD30E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14:paraId="5A6337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vMerge w:val="continue"/>
          </w:tcPr>
          <w:p w14:paraId="43ADF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C6B7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тыс.рублей</w:t>
            </w:r>
          </w:p>
          <w:p w14:paraId="353AF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5CF4B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доля,%</w:t>
            </w:r>
          </w:p>
          <w:p w14:paraId="2286E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4E1D3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тыс.рублей</w:t>
            </w:r>
          </w:p>
          <w:p w14:paraId="6AC3E1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4CBA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доля,%</w:t>
            </w:r>
          </w:p>
          <w:p w14:paraId="21159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</w:tcPr>
          <w:p w14:paraId="62B8F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14:paraId="1F5468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vAlign w:val="center"/>
          </w:tcPr>
          <w:p w14:paraId="70A37C9E">
            <w:pPr>
              <w:spacing w:after="0" w:line="240" w:lineRule="auto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  <w:t>"Управление муниципальным имуществом и земельными ресурсами Богородского муниципального округа Нижегородской области"</w:t>
            </w:r>
          </w:p>
        </w:tc>
        <w:tc>
          <w:tcPr>
            <w:tcW w:w="1276" w:type="dxa"/>
            <w:vAlign w:val="center"/>
          </w:tcPr>
          <w:p w14:paraId="633F68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980,49</w:t>
            </w:r>
          </w:p>
        </w:tc>
        <w:tc>
          <w:tcPr>
            <w:tcW w:w="992" w:type="dxa"/>
            <w:vAlign w:val="center"/>
          </w:tcPr>
          <w:p w14:paraId="283CA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57,4</w:t>
            </w:r>
          </w:p>
        </w:tc>
        <w:tc>
          <w:tcPr>
            <w:tcW w:w="1276" w:type="dxa"/>
            <w:vAlign w:val="center"/>
          </w:tcPr>
          <w:p w14:paraId="20FE26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346,11</w:t>
            </w:r>
          </w:p>
        </w:tc>
        <w:tc>
          <w:tcPr>
            <w:tcW w:w="1134" w:type="dxa"/>
            <w:vAlign w:val="center"/>
          </w:tcPr>
          <w:p w14:paraId="5F515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51,5</w:t>
            </w:r>
          </w:p>
        </w:tc>
        <w:tc>
          <w:tcPr>
            <w:tcW w:w="1418" w:type="dxa"/>
            <w:vAlign w:val="center"/>
          </w:tcPr>
          <w:p w14:paraId="5AF82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71,6</w:t>
            </w:r>
          </w:p>
        </w:tc>
      </w:tr>
      <w:tr w14:paraId="39846A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vAlign w:val="center"/>
          </w:tcPr>
          <w:p w14:paraId="62585D2A">
            <w:pPr>
              <w:spacing w:after="0" w:line="240" w:lineRule="auto"/>
              <w:textAlignment w:val="center"/>
              <w:rPr>
                <w:rFonts w:hint="default"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Подпрограмма «Сохранение объектов культурного наследия, находящихся в муниципальной собственности Богородского муниципального округа Нижегородской области»</w:t>
            </w:r>
          </w:p>
        </w:tc>
        <w:tc>
          <w:tcPr>
            <w:tcW w:w="1276" w:type="dxa"/>
            <w:vAlign w:val="center"/>
          </w:tcPr>
          <w:p w14:paraId="554102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252,99</w:t>
            </w:r>
          </w:p>
        </w:tc>
        <w:tc>
          <w:tcPr>
            <w:tcW w:w="992" w:type="dxa"/>
            <w:vAlign w:val="center"/>
          </w:tcPr>
          <w:p w14:paraId="4889B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3,8</w:t>
            </w:r>
          </w:p>
        </w:tc>
        <w:tc>
          <w:tcPr>
            <w:tcW w:w="1276" w:type="dxa"/>
            <w:vAlign w:val="center"/>
          </w:tcPr>
          <w:p w14:paraId="734752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134" w:type="dxa"/>
            <w:vAlign w:val="center"/>
          </w:tcPr>
          <w:p w14:paraId="15171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0,0</w:t>
            </w:r>
          </w:p>
        </w:tc>
        <w:tc>
          <w:tcPr>
            <w:tcW w:w="1418" w:type="dxa"/>
            <w:vAlign w:val="center"/>
          </w:tcPr>
          <w:p w14:paraId="326FA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0,0</w:t>
            </w:r>
          </w:p>
        </w:tc>
      </w:tr>
      <w:tr w14:paraId="10D00D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vAlign w:val="center"/>
          </w:tcPr>
          <w:p w14:paraId="55CC6340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val="en-US" w:eastAsia="zh-CN"/>
              </w:rPr>
              <w:t>"Обеспечение реализации муниципальной программы"</w:t>
            </w:r>
          </w:p>
        </w:tc>
        <w:tc>
          <w:tcPr>
            <w:tcW w:w="1276" w:type="dxa"/>
            <w:vAlign w:val="center"/>
          </w:tcPr>
          <w:p w14:paraId="0E4768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974,77</w:t>
            </w:r>
          </w:p>
        </w:tc>
        <w:tc>
          <w:tcPr>
            <w:tcW w:w="992" w:type="dxa"/>
            <w:vAlign w:val="center"/>
          </w:tcPr>
          <w:p w14:paraId="22145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39,6</w:t>
            </w:r>
          </w:p>
        </w:tc>
        <w:tc>
          <w:tcPr>
            <w:tcW w:w="1276" w:type="dxa"/>
            <w:vAlign w:val="center"/>
          </w:tcPr>
          <w:p w14:paraId="501FB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965,4</w:t>
            </w:r>
          </w:p>
        </w:tc>
        <w:tc>
          <w:tcPr>
            <w:tcW w:w="1134" w:type="dxa"/>
            <w:vAlign w:val="center"/>
          </w:tcPr>
          <w:p w14:paraId="33709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49,5</w:t>
            </w:r>
          </w:p>
        </w:tc>
        <w:tc>
          <w:tcPr>
            <w:tcW w:w="1418" w:type="dxa"/>
            <w:vAlign w:val="center"/>
          </w:tcPr>
          <w:p w14:paraId="1C42B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102,0</w:t>
            </w:r>
          </w:p>
        </w:tc>
      </w:tr>
      <w:tr w14:paraId="2CA57A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vAlign w:val="center"/>
          </w:tcPr>
          <w:p w14:paraId="0F5E8EC2">
            <w:pPr>
              <w:spacing w:after="0" w:line="240" w:lineRule="auto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14:paraId="0ABACE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208,25</w:t>
            </w:r>
          </w:p>
        </w:tc>
        <w:tc>
          <w:tcPr>
            <w:tcW w:w="992" w:type="dxa"/>
            <w:vAlign w:val="center"/>
          </w:tcPr>
          <w:p w14:paraId="53EFA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103,0</w:t>
            </w:r>
          </w:p>
        </w:tc>
        <w:tc>
          <w:tcPr>
            <w:tcW w:w="1276" w:type="dxa"/>
            <w:vAlign w:val="center"/>
          </w:tcPr>
          <w:p w14:paraId="698EB5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311,51</w:t>
            </w:r>
          </w:p>
        </w:tc>
        <w:tc>
          <w:tcPr>
            <w:tcW w:w="1134" w:type="dxa"/>
            <w:vAlign w:val="center"/>
          </w:tcPr>
          <w:p w14:paraId="1674C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103,0</w:t>
            </w:r>
          </w:p>
        </w:tc>
        <w:tc>
          <w:tcPr>
            <w:tcW w:w="1418" w:type="dxa"/>
            <w:vAlign w:val="center"/>
          </w:tcPr>
          <w:p w14:paraId="331E0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82,3</w:t>
            </w:r>
          </w:p>
        </w:tc>
      </w:tr>
    </w:tbl>
    <w:p w14:paraId="40D04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</w:p>
    <w:p w14:paraId="7173E5EB">
      <w:pPr>
        <w:autoSpaceDE w:val="0"/>
        <w:autoSpaceDN w:val="0"/>
        <w:adjustRightInd w:val="0"/>
        <w:spacing w:after="0" w:line="240" w:lineRule="auto"/>
        <w:ind w:left="0" w:leftChars="0" w:firstLine="658" w:firstLineChars="235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Степень достижения плановых значений целевых индикаторов за отчетный период составила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87,5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%. По итогам проведения оценки эффективности реализации муниципальных программ за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год, программа находится на 1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4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месте. Присвоенная оценка эффективности –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высшая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.</w:t>
      </w:r>
    </w:p>
    <w:p w14:paraId="58EC52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</w:p>
    <w:p w14:paraId="3BE893CE">
      <w:pPr>
        <w:pStyle w:val="12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</w:rPr>
        <w:t>Муниципальная программа «</w:t>
      </w:r>
      <w:r>
        <w:rPr>
          <w:rFonts w:ascii="Times New Roman" w:hAnsi="Times New Roman" w:cs="Times New Roman"/>
          <w:bCs/>
          <w:i/>
          <w:sz w:val="28"/>
          <w:szCs w:val="28"/>
        </w:rPr>
        <w:t>Содействие развитию субъектов малого и среднего предпринимательства Богородского муниципального округа Нижегородской области»</w:t>
      </w:r>
    </w:p>
    <w:p w14:paraId="5787C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Расходы по муниципальной программе исполнены в сумме 9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85,19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тыс.рублей или 100 % от уточненного годового плана. </w:t>
      </w:r>
    </w:p>
    <w:p w14:paraId="082FF2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Доля расходов по программе в общей сумме программных расходов бюджета округа составляет по кассовому исполнению 0,1 %.</w:t>
      </w:r>
    </w:p>
    <w:p w14:paraId="274E0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Информация о структуре финансирования и кассовом исполнении подпрограмм в рамках муниципальной программы  представлена в таблице.</w:t>
      </w:r>
    </w:p>
    <w:p w14:paraId="7940BD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  <w:t>Таблица № 20</w:t>
      </w:r>
    </w:p>
    <w:tbl>
      <w:tblPr>
        <w:tblStyle w:val="10"/>
        <w:tblW w:w="960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1275"/>
        <w:gridCol w:w="851"/>
        <w:gridCol w:w="1417"/>
        <w:gridCol w:w="1297"/>
        <w:gridCol w:w="1397"/>
      </w:tblGrid>
      <w:tr w14:paraId="64BFFA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vMerge w:val="restart"/>
          </w:tcPr>
          <w:p w14:paraId="4D8FFF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Наименование подпрограммы</w:t>
            </w:r>
          </w:p>
          <w:p w14:paraId="75965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06379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Уточненный план на 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 год</w:t>
            </w:r>
          </w:p>
          <w:p w14:paraId="1FD1F9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714" w:type="dxa"/>
            <w:gridSpan w:val="2"/>
          </w:tcPr>
          <w:p w14:paraId="755DF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Исполнено за</w:t>
            </w:r>
          </w:p>
          <w:p w14:paraId="29DD41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 год</w:t>
            </w:r>
          </w:p>
          <w:p w14:paraId="3CB31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97" w:type="dxa"/>
            <w:vMerge w:val="restart"/>
          </w:tcPr>
          <w:p w14:paraId="20D46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% исполнения к годовым назначениям</w:t>
            </w:r>
          </w:p>
        </w:tc>
      </w:tr>
      <w:tr w14:paraId="4DB84F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vMerge w:val="continue"/>
          </w:tcPr>
          <w:p w14:paraId="78D65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DFDC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тыс.рублей</w:t>
            </w:r>
          </w:p>
        </w:tc>
        <w:tc>
          <w:tcPr>
            <w:tcW w:w="851" w:type="dxa"/>
          </w:tcPr>
          <w:p w14:paraId="3B1A4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доля,%</w:t>
            </w:r>
          </w:p>
        </w:tc>
        <w:tc>
          <w:tcPr>
            <w:tcW w:w="1417" w:type="dxa"/>
          </w:tcPr>
          <w:p w14:paraId="58E72B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тыс.рублей</w:t>
            </w:r>
          </w:p>
        </w:tc>
        <w:tc>
          <w:tcPr>
            <w:tcW w:w="1297" w:type="dxa"/>
          </w:tcPr>
          <w:p w14:paraId="6B0C9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доля,%</w:t>
            </w:r>
          </w:p>
        </w:tc>
        <w:tc>
          <w:tcPr>
            <w:tcW w:w="1397" w:type="dxa"/>
            <w:vMerge w:val="continue"/>
          </w:tcPr>
          <w:p w14:paraId="2BCDB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14:paraId="1D6462C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vAlign w:val="center"/>
          </w:tcPr>
          <w:p w14:paraId="0804D995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  <w:t>"Развитие предпринимательства в Богородском муниципальном округе Нижегородской области"</w:t>
            </w:r>
          </w:p>
        </w:tc>
        <w:tc>
          <w:tcPr>
            <w:tcW w:w="1275" w:type="dxa"/>
            <w:vAlign w:val="center"/>
          </w:tcPr>
          <w:p w14:paraId="047F45AE">
            <w:pP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  <w:t>1 005,20</w:t>
            </w:r>
          </w:p>
        </w:tc>
        <w:tc>
          <w:tcPr>
            <w:tcW w:w="851" w:type="dxa"/>
            <w:vAlign w:val="center"/>
          </w:tcPr>
          <w:p w14:paraId="350B173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17" w:type="dxa"/>
            <w:vAlign w:val="center"/>
          </w:tcPr>
          <w:p w14:paraId="3AA397DF">
            <w:pPr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  <w:t>1 005,20</w:t>
            </w:r>
          </w:p>
        </w:tc>
        <w:tc>
          <w:tcPr>
            <w:tcW w:w="1297" w:type="dxa"/>
            <w:vAlign w:val="center"/>
          </w:tcPr>
          <w:p w14:paraId="2C94A9A0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97" w:type="dxa"/>
            <w:vAlign w:val="center"/>
          </w:tcPr>
          <w:p w14:paraId="7FD21862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  <w:t>100,0</w:t>
            </w:r>
          </w:p>
        </w:tc>
      </w:tr>
      <w:tr w14:paraId="43A861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vAlign w:val="bottom"/>
          </w:tcPr>
          <w:p w14:paraId="04502806">
            <w:pPr>
              <w:spacing w:after="0" w:line="240" w:lineRule="auto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5" w:type="dxa"/>
            <w:vAlign w:val="center"/>
          </w:tcPr>
          <w:p w14:paraId="6F9D714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  <w:t>1 005,20</w:t>
            </w:r>
          </w:p>
        </w:tc>
        <w:tc>
          <w:tcPr>
            <w:tcW w:w="851" w:type="dxa"/>
            <w:vAlign w:val="center"/>
          </w:tcPr>
          <w:p w14:paraId="31C53EAD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17" w:type="dxa"/>
            <w:vAlign w:val="center"/>
          </w:tcPr>
          <w:p w14:paraId="0D5C1FC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  <w:t>1 005,20</w:t>
            </w:r>
          </w:p>
        </w:tc>
        <w:tc>
          <w:tcPr>
            <w:tcW w:w="1297" w:type="dxa"/>
            <w:vAlign w:val="center"/>
          </w:tcPr>
          <w:p w14:paraId="011931A5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97" w:type="dxa"/>
            <w:vAlign w:val="center"/>
          </w:tcPr>
          <w:p w14:paraId="2178C340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  <w:t>100,0</w:t>
            </w:r>
          </w:p>
        </w:tc>
      </w:tr>
    </w:tbl>
    <w:p w14:paraId="39C0E8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Степень достижения плановых значений целевых индикаторов за отчетный период составила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98,8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%. По итогам проведения оценки эффективности реализации муниципальных программ за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год, программа находится на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7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месте. Присвоенная оценка эффективности – высокая.</w:t>
      </w:r>
    </w:p>
    <w:p w14:paraId="7AF02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,Bold" w:cs="Times New Roman"/>
          <w:bCs/>
          <w:iCs/>
          <w:color w:val="000000"/>
          <w:sz w:val="27"/>
          <w:szCs w:val="27"/>
        </w:rPr>
      </w:pPr>
    </w:p>
    <w:p w14:paraId="470E4F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</w:rPr>
        <w:t>10. Муниципальная программа «</w:t>
      </w:r>
      <w:r>
        <w:rPr>
          <w:rFonts w:ascii="Times New Roman" w:hAnsi="Times New Roman" w:cs="Times New Roman"/>
          <w:bCs/>
          <w:i/>
          <w:sz w:val="28"/>
          <w:szCs w:val="28"/>
        </w:rPr>
        <w:t>Развитие дорожного хозяйства Богородского муниципального округа Нижегородской области»</w:t>
      </w:r>
    </w:p>
    <w:p w14:paraId="3978DC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Расходы по муниципальной программе исполнены в сумме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255 275,33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тыс.рублей или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 95,9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 от уточненного годового плана. </w:t>
      </w:r>
    </w:p>
    <w:p w14:paraId="563628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Доля расходов по программе в общей сумме программных расходов бюджета округа составляет по кассовому исполнению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6,1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%.</w:t>
      </w:r>
    </w:p>
    <w:p w14:paraId="4A10E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Информация о структуре финансирования и кассовом исполнении подпрограмм в рамках муниципальной программы  представлена в таблице.</w:t>
      </w:r>
    </w:p>
    <w:p w14:paraId="1D2C41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  <w:t>Таблица № 21</w:t>
      </w:r>
    </w:p>
    <w:tbl>
      <w:tblPr>
        <w:tblStyle w:val="10"/>
        <w:tblW w:w="0" w:type="auto"/>
        <w:tblInd w:w="7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5"/>
        <w:gridCol w:w="1134"/>
        <w:gridCol w:w="850"/>
        <w:gridCol w:w="1134"/>
        <w:gridCol w:w="993"/>
        <w:gridCol w:w="1666"/>
      </w:tblGrid>
      <w:tr w14:paraId="4D5876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5" w:type="dxa"/>
            <w:vMerge w:val="restart"/>
          </w:tcPr>
          <w:p w14:paraId="22A20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Наименование подпрограммы</w:t>
            </w:r>
          </w:p>
          <w:p w14:paraId="1914D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04B5A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Уточненный план на 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 год</w:t>
            </w:r>
          </w:p>
          <w:p w14:paraId="37F212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14:paraId="51E5DB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Исполнено за</w:t>
            </w:r>
          </w:p>
          <w:p w14:paraId="2F7AE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 год</w:t>
            </w:r>
          </w:p>
          <w:p w14:paraId="27E69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vMerge w:val="restart"/>
          </w:tcPr>
          <w:p w14:paraId="72874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% исполнения к годовым назначениям</w:t>
            </w:r>
          </w:p>
          <w:p w14:paraId="11F5D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14:paraId="554904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5" w:type="dxa"/>
            <w:vMerge w:val="continue"/>
          </w:tcPr>
          <w:p w14:paraId="182C7D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962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0" w:type="dxa"/>
          </w:tcPr>
          <w:p w14:paraId="2CA3A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доля,%</w:t>
            </w:r>
          </w:p>
          <w:p w14:paraId="3B489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5C7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993" w:type="dxa"/>
          </w:tcPr>
          <w:p w14:paraId="62BCF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доля,%</w:t>
            </w:r>
          </w:p>
        </w:tc>
        <w:tc>
          <w:tcPr>
            <w:tcW w:w="1666" w:type="dxa"/>
            <w:vMerge w:val="continue"/>
          </w:tcPr>
          <w:p w14:paraId="37A65F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14:paraId="64B05A7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5" w:type="dxa"/>
            <w:vAlign w:val="center"/>
          </w:tcPr>
          <w:p w14:paraId="52C1C8A4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  <w:t>"Строительство, ремонт и содержание автомобильных дорог общего пользования местного значения Богородского муниципального округа Нижегородской области и искусственных сооружений на них"</w:t>
            </w:r>
          </w:p>
        </w:tc>
        <w:tc>
          <w:tcPr>
            <w:tcW w:w="1134" w:type="dxa"/>
            <w:vAlign w:val="center"/>
          </w:tcPr>
          <w:p w14:paraId="19852AB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210,39</w:t>
            </w:r>
          </w:p>
        </w:tc>
        <w:tc>
          <w:tcPr>
            <w:tcW w:w="850" w:type="dxa"/>
            <w:vAlign w:val="center"/>
          </w:tcPr>
          <w:p w14:paraId="770CF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95,9 </w:t>
            </w:r>
          </w:p>
        </w:tc>
        <w:tc>
          <w:tcPr>
            <w:tcW w:w="1134" w:type="dxa"/>
            <w:vAlign w:val="center"/>
          </w:tcPr>
          <w:p w14:paraId="181701C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4457,2</w:t>
            </w:r>
          </w:p>
        </w:tc>
        <w:tc>
          <w:tcPr>
            <w:tcW w:w="993" w:type="dxa"/>
            <w:vAlign w:val="center"/>
          </w:tcPr>
          <w:p w14:paraId="6E33B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95,8 </w:t>
            </w:r>
          </w:p>
        </w:tc>
        <w:tc>
          <w:tcPr>
            <w:tcW w:w="1666" w:type="dxa"/>
            <w:vAlign w:val="center"/>
          </w:tcPr>
          <w:p w14:paraId="103B3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95,8 </w:t>
            </w:r>
          </w:p>
        </w:tc>
      </w:tr>
      <w:tr w14:paraId="6BFC76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5" w:type="dxa"/>
            <w:vAlign w:val="center"/>
          </w:tcPr>
          <w:p w14:paraId="77AD7D1A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  <w:t>"Повышение безопасности дорожного движения Богородского муниципального округа Нижегородской области"</w:t>
            </w:r>
          </w:p>
        </w:tc>
        <w:tc>
          <w:tcPr>
            <w:tcW w:w="1134" w:type="dxa"/>
            <w:vAlign w:val="center"/>
          </w:tcPr>
          <w:p w14:paraId="1BC4BB6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887,79</w:t>
            </w:r>
          </w:p>
        </w:tc>
        <w:tc>
          <w:tcPr>
            <w:tcW w:w="850" w:type="dxa"/>
            <w:vAlign w:val="center"/>
          </w:tcPr>
          <w:p w14:paraId="409B2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4,1 </w:t>
            </w:r>
          </w:p>
        </w:tc>
        <w:tc>
          <w:tcPr>
            <w:tcW w:w="1134" w:type="dxa"/>
            <w:vAlign w:val="center"/>
          </w:tcPr>
          <w:p w14:paraId="0A724AD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818,12</w:t>
            </w:r>
          </w:p>
        </w:tc>
        <w:tc>
          <w:tcPr>
            <w:tcW w:w="993" w:type="dxa"/>
            <w:vAlign w:val="center"/>
          </w:tcPr>
          <w:p w14:paraId="6ADC2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4,2 </w:t>
            </w:r>
          </w:p>
        </w:tc>
        <w:tc>
          <w:tcPr>
            <w:tcW w:w="1666" w:type="dxa"/>
            <w:vAlign w:val="center"/>
          </w:tcPr>
          <w:p w14:paraId="3A7A4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99,4 </w:t>
            </w:r>
          </w:p>
        </w:tc>
      </w:tr>
      <w:tr w14:paraId="755339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15" w:type="dxa"/>
            <w:vAlign w:val="center"/>
          </w:tcPr>
          <w:p w14:paraId="38B87D59">
            <w:pPr>
              <w:spacing w:after="0" w:line="240" w:lineRule="auto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7DBA70A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098,18</w:t>
            </w:r>
          </w:p>
        </w:tc>
        <w:tc>
          <w:tcPr>
            <w:tcW w:w="850" w:type="dxa"/>
            <w:vAlign w:val="center"/>
          </w:tcPr>
          <w:p w14:paraId="653B5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 </w:t>
            </w:r>
          </w:p>
        </w:tc>
        <w:tc>
          <w:tcPr>
            <w:tcW w:w="1134" w:type="dxa"/>
            <w:vAlign w:val="center"/>
          </w:tcPr>
          <w:p w14:paraId="493C6F5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275,32</w:t>
            </w:r>
          </w:p>
        </w:tc>
        <w:tc>
          <w:tcPr>
            <w:tcW w:w="993" w:type="dxa"/>
            <w:vAlign w:val="center"/>
          </w:tcPr>
          <w:p w14:paraId="2450B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 </w:t>
            </w:r>
          </w:p>
        </w:tc>
        <w:tc>
          <w:tcPr>
            <w:tcW w:w="1666" w:type="dxa"/>
            <w:vAlign w:val="center"/>
          </w:tcPr>
          <w:p w14:paraId="179AB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95,9 </w:t>
            </w:r>
          </w:p>
        </w:tc>
      </w:tr>
    </w:tbl>
    <w:p w14:paraId="6EBE26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Степень достижения плановых значений целевых индикаторов за отчетный период составила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94,1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%. По итогам проведения оценки эффективности реализации муниципальных программ за 20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25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год, программа находится на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13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месте. Присвоенная оценка эффективности –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высокая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.</w:t>
      </w:r>
    </w:p>
    <w:p w14:paraId="4570F8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</w:p>
    <w:p w14:paraId="7E4CB5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</w:rPr>
        <w:t>11. Муниципальная программа «</w:t>
      </w:r>
      <w:r>
        <w:rPr>
          <w:rFonts w:ascii="Times New Roman" w:hAnsi="Times New Roman" w:cs="Times New Roman"/>
          <w:bCs/>
          <w:i/>
          <w:sz w:val="28"/>
          <w:szCs w:val="28"/>
        </w:rPr>
        <w:t>Обеспечение населения Богородского муниципального округа Нижегородской области качественными услугами в сфере жилищно-коммунального хозяйства»</w:t>
      </w:r>
    </w:p>
    <w:p w14:paraId="4938B6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Расходы по муниципальной программе исполнены в сумме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631 911,22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тыс.рублей или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97,7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 от уточненного годового плана. </w:t>
      </w:r>
    </w:p>
    <w:p w14:paraId="7959A5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Доля расходов по программе в общей сумме программных расходов бюджета округа составляет по кассовому исполнению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15,1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%.</w:t>
      </w:r>
    </w:p>
    <w:p w14:paraId="7609EA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Информация о структуре финансирования и кассовом исполнении подпрограмм в рамках муниципальной программы  представлена в таблице.</w:t>
      </w:r>
    </w:p>
    <w:p w14:paraId="055B03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  <w:t>Таблица № 22</w:t>
      </w:r>
    </w:p>
    <w:tbl>
      <w:tblPr>
        <w:tblStyle w:val="10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1134"/>
        <w:gridCol w:w="850"/>
        <w:gridCol w:w="1276"/>
        <w:gridCol w:w="851"/>
        <w:gridCol w:w="1559"/>
      </w:tblGrid>
      <w:tr w14:paraId="01D0A4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Merge w:val="restart"/>
          </w:tcPr>
          <w:p w14:paraId="361A9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Наименование подпрограммы</w:t>
            </w:r>
          </w:p>
          <w:p w14:paraId="46E9AC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5B447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Уточненный план на 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 год</w:t>
            </w:r>
          </w:p>
          <w:p w14:paraId="0C15C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14:paraId="195FEF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Исполнено за</w:t>
            </w:r>
          </w:p>
          <w:p w14:paraId="01391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 год</w:t>
            </w:r>
          </w:p>
          <w:p w14:paraId="0FDEF5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523AF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% исполнения к годовым назначениям</w:t>
            </w:r>
          </w:p>
          <w:p w14:paraId="3A422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14:paraId="789F5D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Merge w:val="continue"/>
          </w:tcPr>
          <w:p w14:paraId="240C8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9C3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0" w:type="dxa"/>
          </w:tcPr>
          <w:p w14:paraId="4AE4D9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доля,%</w:t>
            </w:r>
          </w:p>
          <w:p w14:paraId="1FC8D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2B99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тыс. рублей</w:t>
            </w:r>
          </w:p>
          <w:p w14:paraId="72BAD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20371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доля,%</w:t>
            </w:r>
          </w:p>
          <w:p w14:paraId="4F3D9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continue"/>
          </w:tcPr>
          <w:p w14:paraId="0CE85A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14:paraId="3B694A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 w14:paraId="3832016B">
            <w:pPr>
              <w:spacing w:after="0" w:line="240" w:lineRule="auto"/>
              <w:textAlignment w:val="center"/>
              <w:rPr>
                <w:rFonts w:hint="default" w:ascii="Times New Roman" w:hAnsi="Times New Roman" w:eastAsia="Times New Roman,Bold" w:cs="Times New Roman"/>
                <w:iCs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color w:val="000000"/>
                <w:sz w:val="20"/>
                <w:szCs w:val="20"/>
                <w:lang w:val="ru-RU" w:eastAsia="zh-CN"/>
              </w:rPr>
              <w:t>«</w:t>
            </w: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  <w:t>Развитие коммунальной инфраструктуры в Богородском муниципальном округе Нижегородской области</w:t>
            </w:r>
            <w:r>
              <w:rPr>
                <w:rFonts w:hint="default" w:ascii="Times New Roman" w:hAnsi="Times New Roman" w:eastAsia="Arial CYR" w:cs="Times New Roman"/>
                <w:color w:val="000000"/>
                <w:sz w:val="20"/>
                <w:szCs w:val="20"/>
                <w:lang w:val="ru-RU" w:eastAsia="zh-CN"/>
              </w:rPr>
              <w:t>»</w:t>
            </w:r>
          </w:p>
        </w:tc>
        <w:tc>
          <w:tcPr>
            <w:tcW w:w="1134" w:type="dxa"/>
            <w:vAlign w:val="center"/>
          </w:tcPr>
          <w:p w14:paraId="316610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635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592,39</w:t>
            </w:r>
          </w:p>
        </w:tc>
        <w:tc>
          <w:tcPr>
            <w:tcW w:w="850" w:type="dxa"/>
            <w:vAlign w:val="center"/>
          </w:tcPr>
          <w:p w14:paraId="707C7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98,3</w:t>
            </w:r>
          </w:p>
        </w:tc>
        <w:tc>
          <w:tcPr>
            <w:tcW w:w="1276" w:type="dxa"/>
            <w:vAlign w:val="center"/>
          </w:tcPr>
          <w:p w14:paraId="5E4999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023,68</w:t>
            </w:r>
          </w:p>
        </w:tc>
        <w:tc>
          <w:tcPr>
            <w:tcW w:w="851" w:type="dxa"/>
            <w:vAlign w:val="center"/>
          </w:tcPr>
          <w:p w14:paraId="31ADB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98,3</w:t>
            </w:r>
          </w:p>
        </w:tc>
        <w:tc>
          <w:tcPr>
            <w:tcW w:w="1559" w:type="dxa"/>
            <w:vAlign w:val="center"/>
          </w:tcPr>
          <w:p w14:paraId="48CC9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97,7</w:t>
            </w:r>
          </w:p>
        </w:tc>
      </w:tr>
      <w:tr w14:paraId="3DE3B1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 w14:paraId="67E084EC">
            <w:pPr>
              <w:spacing w:after="0" w:line="240" w:lineRule="auto"/>
              <w:textAlignment w:val="center"/>
              <w:rPr>
                <w:rFonts w:hint="default" w:ascii="Times New Roman" w:hAnsi="Times New Roman" w:eastAsia="Times New Roman,Bold" w:cs="Times New Roman"/>
                <w:iCs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Arial CYR" w:cs="Times New Roman"/>
                <w:color w:val="000000"/>
                <w:sz w:val="20"/>
                <w:szCs w:val="20"/>
                <w:lang w:val="ru-RU" w:eastAsia="zh-CN"/>
              </w:rPr>
              <w:t>«</w:t>
            </w: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  <w:t>Капитальный ремонт общего имущества в многоквартирных домах</w:t>
            </w:r>
            <w:r>
              <w:rPr>
                <w:rFonts w:hint="default" w:ascii="Times New Roman" w:hAnsi="Times New Roman" w:eastAsia="Arial CYR" w:cs="Times New Roman"/>
                <w:color w:val="000000"/>
                <w:sz w:val="20"/>
                <w:szCs w:val="20"/>
                <w:lang w:val="ru-RU" w:eastAsia="zh-CN"/>
              </w:rPr>
              <w:t>»</w:t>
            </w:r>
          </w:p>
        </w:tc>
        <w:tc>
          <w:tcPr>
            <w:tcW w:w="1134" w:type="dxa"/>
            <w:vAlign w:val="center"/>
          </w:tcPr>
          <w:p w14:paraId="40F12E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265,71</w:t>
            </w:r>
          </w:p>
        </w:tc>
        <w:tc>
          <w:tcPr>
            <w:tcW w:w="850" w:type="dxa"/>
            <w:vAlign w:val="center"/>
          </w:tcPr>
          <w:p w14:paraId="5189A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0,5</w:t>
            </w:r>
          </w:p>
        </w:tc>
        <w:tc>
          <w:tcPr>
            <w:tcW w:w="1276" w:type="dxa"/>
            <w:vAlign w:val="center"/>
          </w:tcPr>
          <w:p w14:paraId="6A7F3D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262,56</w:t>
            </w:r>
          </w:p>
        </w:tc>
        <w:tc>
          <w:tcPr>
            <w:tcW w:w="851" w:type="dxa"/>
            <w:vAlign w:val="center"/>
          </w:tcPr>
          <w:p w14:paraId="31D0E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0,5</w:t>
            </w:r>
          </w:p>
        </w:tc>
        <w:tc>
          <w:tcPr>
            <w:tcW w:w="1559" w:type="dxa"/>
            <w:vAlign w:val="center"/>
          </w:tcPr>
          <w:p w14:paraId="74513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99,9</w:t>
            </w:r>
          </w:p>
        </w:tc>
      </w:tr>
      <w:tr w14:paraId="67A369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 w14:paraId="0EF1570B">
            <w:pPr>
              <w:spacing w:after="0" w:line="240" w:lineRule="auto"/>
              <w:textAlignment w:val="center"/>
              <w:rPr>
                <w:rFonts w:hint="default" w:ascii="Times New Roman" w:hAnsi="Times New Roman" w:eastAsia="Arial CYR" w:cs="Times New Roman"/>
                <w:color w:val="000000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Arial CYR" w:cs="Times New Roman"/>
                <w:color w:val="000000"/>
                <w:sz w:val="20"/>
                <w:szCs w:val="20"/>
                <w:lang w:val="ru-RU" w:eastAsia="zh-CN"/>
              </w:rPr>
              <w:t>«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Экология»</w:t>
            </w:r>
          </w:p>
        </w:tc>
        <w:tc>
          <w:tcPr>
            <w:tcW w:w="1134" w:type="dxa"/>
            <w:vAlign w:val="center"/>
          </w:tcPr>
          <w:p w14:paraId="143911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,00</w:t>
            </w:r>
          </w:p>
        </w:tc>
        <w:tc>
          <w:tcPr>
            <w:tcW w:w="850" w:type="dxa"/>
            <w:vAlign w:val="center"/>
          </w:tcPr>
          <w:p w14:paraId="62A95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0,0</w:t>
            </w:r>
          </w:p>
        </w:tc>
        <w:tc>
          <w:tcPr>
            <w:tcW w:w="1276" w:type="dxa"/>
            <w:vAlign w:val="center"/>
          </w:tcPr>
          <w:p w14:paraId="4E0DAA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,00</w:t>
            </w:r>
          </w:p>
        </w:tc>
        <w:tc>
          <w:tcPr>
            <w:tcW w:w="851" w:type="dxa"/>
            <w:vAlign w:val="center"/>
          </w:tcPr>
          <w:p w14:paraId="14B1C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0,0</w:t>
            </w:r>
          </w:p>
        </w:tc>
        <w:tc>
          <w:tcPr>
            <w:tcW w:w="1559" w:type="dxa"/>
            <w:vAlign w:val="center"/>
          </w:tcPr>
          <w:p w14:paraId="7D81D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0,0</w:t>
            </w:r>
          </w:p>
        </w:tc>
      </w:tr>
      <w:tr w14:paraId="050EB9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3794" w:type="dxa"/>
            <w:vAlign w:val="center"/>
          </w:tcPr>
          <w:p w14:paraId="6E27B2F2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val="en-US" w:eastAsia="zh-CN"/>
              </w:rPr>
              <w:t>"Обеспечение реализации муниципальной программы"</w:t>
            </w:r>
          </w:p>
        </w:tc>
        <w:tc>
          <w:tcPr>
            <w:tcW w:w="1134" w:type="dxa"/>
            <w:vAlign w:val="center"/>
          </w:tcPr>
          <w:p w14:paraId="1D027A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627,76</w:t>
            </w:r>
          </w:p>
        </w:tc>
        <w:tc>
          <w:tcPr>
            <w:tcW w:w="850" w:type="dxa"/>
            <w:vAlign w:val="center"/>
          </w:tcPr>
          <w:p w14:paraId="0B231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1,2</w:t>
            </w:r>
          </w:p>
        </w:tc>
        <w:tc>
          <w:tcPr>
            <w:tcW w:w="1276" w:type="dxa"/>
            <w:vAlign w:val="center"/>
          </w:tcPr>
          <w:p w14:paraId="3B4C45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624,97</w:t>
            </w:r>
          </w:p>
        </w:tc>
        <w:tc>
          <w:tcPr>
            <w:tcW w:w="851" w:type="dxa"/>
            <w:vAlign w:val="center"/>
          </w:tcPr>
          <w:p w14:paraId="1DE04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1,2</w:t>
            </w:r>
          </w:p>
        </w:tc>
        <w:tc>
          <w:tcPr>
            <w:tcW w:w="1559" w:type="dxa"/>
            <w:vAlign w:val="center"/>
          </w:tcPr>
          <w:p w14:paraId="4E8E8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100,0</w:t>
            </w:r>
          </w:p>
        </w:tc>
      </w:tr>
      <w:tr w14:paraId="793117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 w14:paraId="2C3385B4">
            <w:pPr>
              <w:spacing w:after="0" w:line="240" w:lineRule="auto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2AD294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485,86</w:t>
            </w:r>
          </w:p>
        </w:tc>
        <w:tc>
          <w:tcPr>
            <w:tcW w:w="850" w:type="dxa"/>
            <w:vAlign w:val="center"/>
          </w:tcPr>
          <w:p w14:paraId="1CB20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100,0</w:t>
            </w:r>
          </w:p>
        </w:tc>
        <w:tc>
          <w:tcPr>
            <w:tcW w:w="1276" w:type="dxa"/>
            <w:vAlign w:val="center"/>
          </w:tcPr>
          <w:p w14:paraId="5673A7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911,21</w:t>
            </w:r>
          </w:p>
        </w:tc>
        <w:tc>
          <w:tcPr>
            <w:tcW w:w="851" w:type="dxa"/>
            <w:vAlign w:val="center"/>
          </w:tcPr>
          <w:p w14:paraId="69A16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100,0</w:t>
            </w:r>
          </w:p>
        </w:tc>
        <w:tc>
          <w:tcPr>
            <w:tcW w:w="1559" w:type="dxa"/>
            <w:vAlign w:val="center"/>
          </w:tcPr>
          <w:p w14:paraId="47A4F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97,7</w:t>
            </w:r>
          </w:p>
        </w:tc>
      </w:tr>
    </w:tbl>
    <w:p w14:paraId="2E79A3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Степень достижения плановых значений целевых индикаторов за отчетный период составила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61,8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%. По итогам проведения оценки эффективности реализации муниципальных программ за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год, программа находится на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17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месте. Присвоенная оценка эффективности –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удовлетворительная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.</w:t>
      </w:r>
    </w:p>
    <w:p w14:paraId="4DE8FA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</w:p>
    <w:p w14:paraId="3777B9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</w:rPr>
        <w:t>12. Муниципальная программа «</w:t>
      </w:r>
      <w:r>
        <w:rPr>
          <w:rFonts w:ascii="Times New Roman" w:hAnsi="Times New Roman" w:cs="Times New Roman"/>
          <w:bCs/>
          <w:i/>
          <w:sz w:val="28"/>
          <w:szCs w:val="28"/>
        </w:rPr>
        <w:t>Обеспечение безопасности жизнедеятельности населения Богородского муниципального округа Нижегородской области»</w:t>
      </w:r>
    </w:p>
    <w:p w14:paraId="2B34CE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Расходы по муниципальной программе исполнены в сумме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90 977,36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тыс.рублей или 9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9,4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 от уточненного годового плана. </w:t>
      </w:r>
    </w:p>
    <w:p w14:paraId="2D303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Доля расходов по программе в общей сумме программных расходов бюджета округа составляет по кассовому исполнению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2,2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%.</w:t>
      </w:r>
    </w:p>
    <w:p w14:paraId="61DDAF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Информация о структуре финансирования и кассовом исполнении подпрограмм в рамках муниципальной программы  представлена в таблице.</w:t>
      </w:r>
    </w:p>
    <w:p w14:paraId="5929DB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  <w:t>Таблица № 23</w:t>
      </w:r>
    </w:p>
    <w:tbl>
      <w:tblPr>
        <w:tblStyle w:val="10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1134"/>
        <w:gridCol w:w="992"/>
        <w:gridCol w:w="1134"/>
        <w:gridCol w:w="992"/>
        <w:gridCol w:w="1558"/>
      </w:tblGrid>
      <w:tr w14:paraId="1B581B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Merge w:val="restart"/>
          </w:tcPr>
          <w:p w14:paraId="58393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Наименование подпрограммы</w:t>
            </w:r>
          </w:p>
          <w:p w14:paraId="5E3081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21F9B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Уточненный план на 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2126" w:type="dxa"/>
            <w:gridSpan w:val="2"/>
          </w:tcPr>
          <w:p w14:paraId="00C7F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Исполнено за</w:t>
            </w:r>
          </w:p>
          <w:p w14:paraId="1288D2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558" w:type="dxa"/>
            <w:vMerge w:val="restart"/>
          </w:tcPr>
          <w:p w14:paraId="5645F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% исполнения к годовым назначениям</w:t>
            </w:r>
          </w:p>
        </w:tc>
      </w:tr>
      <w:tr w14:paraId="569072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Merge w:val="continue"/>
          </w:tcPr>
          <w:p w14:paraId="0D9E94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A6B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992" w:type="dxa"/>
          </w:tcPr>
          <w:p w14:paraId="24E78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доля,%</w:t>
            </w:r>
          </w:p>
          <w:p w14:paraId="56E013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023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992" w:type="dxa"/>
          </w:tcPr>
          <w:p w14:paraId="54EBB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доля,%</w:t>
            </w:r>
          </w:p>
          <w:p w14:paraId="06517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vMerge w:val="continue"/>
          </w:tcPr>
          <w:p w14:paraId="6AF23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14:paraId="4988FC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94" w:type="dxa"/>
            <w:vAlign w:val="center"/>
          </w:tcPr>
          <w:p w14:paraId="0BE37A80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  <w:t>"Защита населения и территории Богородского муниципального округа Нижегородской области от чрезвычайных ситуаций"</w:t>
            </w:r>
          </w:p>
        </w:tc>
        <w:tc>
          <w:tcPr>
            <w:tcW w:w="1134" w:type="dxa"/>
            <w:vAlign w:val="center"/>
          </w:tcPr>
          <w:p w14:paraId="73EE4D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106,6</w:t>
            </w:r>
          </w:p>
        </w:tc>
        <w:tc>
          <w:tcPr>
            <w:tcW w:w="992" w:type="dxa"/>
            <w:vAlign w:val="center"/>
          </w:tcPr>
          <w:p w14:paraId="015C4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1,2 </w:t>
            </w:r>
          </w:p>
        </w:tc>
        <w:tc>
          <w:tcPr>
            <w:tcW w:w="1134" w:type="dxa"/>
            <w:vAlign w:val="center"/>
          </w:tcPr>
          <w:p w14:paraId="3279A1A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643,6</w:t>
            </w:r>
          </w:p>
        </w:tc>
        <w:tc>
          <w:tcPr>
            <w:tcW w:w="992" w:type="dxa"/>
            <w:vAlign w:val="center"/>
          </w:tcPr>
          <w:p w14:paraId="481C5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0,7 </w:t>
            </w:r>
          </w:p>
        </w:tc>
        <w:tc>
          <w:tcPr>
            <w:tcW w:w="1558" w:type="dxa"/>
            <w:vAlign w:val="center"/>
          </w:tcPr>
          <w:p w14:paraId="7B7D4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58,2 </w:t>
            </w:r>
          </w:p>
        </w:tc>
      </w:tr>
      <w:tr w14:paraId="7B8D3C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 w14:paraId="26F27EA2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  <w:t>"Противодействие экстремизму и профилактика терроризма на территории Богородского муниципального округа Нижегородской области"</w:t>
            </w:r>
          </w:p>
        </w:tc>
        <w:tc>
          <w:tcPr>
            <w:tcW w:w="1134" w:type="dxa"/>
            <w:vAlign w:val="center"/>
          </w:tcPr>
          <w:p w14:paraId="4FF092E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577,8</w:t>
            </w:r>
          </w:p>
        </w:tc>
        <w:tc>
          <w:tcPr>
            <w:tcW w:w="992" w:type="dxa"/>
            <w:vAlign w:val="center"/>
          </w:tcPr>
          <w:p w14:paraId="3E928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29,0 </w:t>
            </w:r>
          </w:p>
        </w:tc>
        <w:tc>
          <w:tcPr>
            <w:tcW w:w="1134" w:type="dxa"/>
            <w:vAlign w:val="center"/>
          </w:tcPr>
          <w:p w14:paraId="1455BB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577,8</w:t>
            </w:r>
          </w:p>
        </w:tc>
        <w:tc>
          <w:tcPr>
            <w:tcW w:w="992" w:type="dxa"/>
            <w:vAlign w:val="center"/>
          </w:tcPr>
          <w:p w14:paraId="39224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29,2 </w:t>
            </w:r>
          </w:p>
        </w:tc>
        <w:tc>
          <w:tcPr>
            <w:tcW w:w="1558" w:type="dxa"/>
            <w:vAlign w:val="center"/>
          </w:tcPr>
          <w:p w14:paraId="03ECF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 </w:t>
            </w:r>
          </w:p>
        </w:tc>
      </w:tr>
      <w:tr w14:paraId="3D0573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 w14:paraId="088A1D4E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  <w:t>"Профилактика безнадзорности и правонарушений несовершеннолетних Богородского муниципального округа Нижегородской области"</w:t>
            </w:r>
          </w:p>
        </w:tc>
        <w:tc>
          <w:tcPr>
            <w:tcW w:w="1134" w:type="dxa"/>
            <w:vAlign w:val="center"/>
          </w:tcPr>
          <w:p w14:paraId="3D3A7E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711,98</w:t>
            </w:r>
          </w:p>
        </w:tc>
        <w:tc>
          <w:tcPr>
            <w:tcW w:w="992" w:type="dxa"/>
            <w:vAlign w:val="center"/>
          </w:tcPr>
          <w:p w14:paraId="2AB56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3,0 </w:t>
            </w:r>
          </w:p>
        </w:tc>
        <w:tc>
          <w:tcPr>
            <w:tcW w:w="1134" w:type="dxa"/>
            <w:vAlign w:val="center"/>
          </w:tcPr>
          <w:p w14:paraId="4F5B9BA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711,98</w:t>
            </w:r>
          </w:p>
        </w:tc>
        <w:tc>
          <w:tcPr>
            <w:tcW w:w="992" w:type="dxa"/>
            <w:vAlign w:val="center"/>
          </w:tcPr>
          <w:p w14:paraId="19388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3,0 </w:t>
            </w:r>
          </w:p>
        </w:tc>
        <w:tc>
          <w:tcPr>
            <w:tcW w:w="1558" w:type="dxa"/>
            <w:vAlign w:val="center"/>
          </w:tcPr>
          <w:p w14:paraId="64DB6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 </w:t>
            </w:r>
          </w:p>
        </w:tc>
      </w:tr>
      <w:tr w14:paraId="0F1F41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 w14:paraId="6396B79A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  <w:t>"Профилактика наркомании и токсикомании на территории Богородского муниципального округа Нижегородской области "Богородский муниципальный округ - без наркотиков""</w:t>
            </w:r>
          </w:p>
        </w:tc>
        <w:tc>
          <w:tcPr>
            <w:tcW w:w="1134" w:type="dxa"/>
            <w:vAlign w:val="center"/>
          </w:tcPr>
          <w:p w14:paraId="41430DF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50,32</w:t>
            </w:r>
          </w:p>
        </w:tc>
        <w:tc>
          <w:tcPr>
            <w:tcW w:w="992" w:type="dxa"/>
            <w:vAlign w:val="center"/>
          </w:tcPr>
          <w:p w14:paraId="43FBA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0,1 </w:t>
            </w:r>
          </w:p>
        </w:tc>
        <w:tc>
          <w:tcPr>
            <w:tcW w:w="1134" w:type="dxa"/>
            <w:vAlign w:val="center"/>
          </w:tcPr>
          <w:p w14:paraId="3F249E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50,32</w:t>
            </w:r>
          </w:p>
        </w:tc>
        <w:tc>
          <w:tcPr>
            <w:tcW w:w="992" w:type="dxa"/>
            <w:vAlign w:val="center"/>
          </w:tcPr>
          <w:p w14:paraId="57B59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0,1 </w:t>
            </w:r>
          </w:p>
        </w:tc>
        <w:tc>
          <w:tcPr>
            <w:tcW w:w="1558" w:type="dxa"/>
            <w:vAlign w:val="center"/>
          </w:tcPr>
          <w:p w14:paraId="1B16A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 </w:t>
            </w:r>
          </w:p>
        </w:tc>
      </w:tr>
      <w:tr w14:paraId="286ABE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 w14:paraId="35C09B61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  <w:t>"Построение и развитие аппаратно-программного комплекса "Безопасный город"</w:t>
            </w:r>
          </w:p>
        </w:tc>
        <w:tc>
          <w:tcPr>
            <w:tcW w:w="1134" w:type="dxa"/>
            <w:vAlign w:val="center"/>
          </w:tcPr>
          <w:p w14:paraId="2CE719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131,73</w:t>
            </w:r>
          </w:p>
        </w:tc>
        <w:tc>
          <w:tcPr>
            <w:tcW w:w="992" w:type="dxa"/>
            <w:vAlign w:val="center"/>
          </w:tcPr>
          <w:p w14:paraId="3040F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6,7 </w:t>
            </w:r>
          </w:p>
        </w:tc>
        <w:tc>
          <w:tcPr>
            <w:tcW w:w="1134" w:type="dxa"/>
            <w:vAlign w:val="center"/>
          </w:tcPr>
          <w:p w14:paraId="3E0CB64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130,9</w:t>
            </w:r>
          </w:p>
        </w:tc>
        <w:tc>
          <w:tcPr>
            <w:tcW w:w="992" w:type="dxa"/>
            <w:vAlign w:val="center"/>
          </w:tcPr>
          <w:p w14:paraId="4CD72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6,7 </w:t>
            </w:r>
          </w:p>
        </w:tc>
        <w:tc>
          <w:tcPr>
            <w:tcW w:w="1558" w:type="dxa"/>
            <w:vAlign w:val="center"/>
          </w:tcPr>
          <w:p w14:paraId="04DE5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 </w:t>
            </w:r>
          </w:p>
        </w:tc>
      </w:tr>
      <w:tr w14:paraId="1A4924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3794" w:type="dxa"/>
            <w:vAlign w:val="center"/>
          </w:tcPr>
          <w:p w14:paraId="683D1050">
            <w:pPr>
              <w:spacing w:after="0" w:line="240" w:lineRule="auto"/>
              <w:textAlignment w:val="center"/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«Профилактика преступлений и иных правонарушений в Богородском муниципальном округе Нижегородской области»</w:t>
            </w:r>
          </w:p>
        </w:tc>
        <w:tc>
          <w:tcPr>
            <w:tcW w:w="1134" w:type="dxa"/>
            <w:vAlign w:val="center"/>
          </w:tcPr>
          <w:p w14:paraId="0860440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858</w:t>
            </w:r>
          </w:p>
        </w:tc>
        <w:tc>
          <w:tcPr>
            <w:tcW w:w="992" w:type="dxa"/>
            <w:vAlign w:val="center"/>
          </w:tcPr>
          <w:p w14:paraId="0147E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0,9 </w:t>
            </w:r>
          </w:p>
        </w:tc>
        <w:tc>
          <w:tcPr>
            <w:tcW w:w="1134" w:type="dxa"/>
            <w:vAlign w:val="center"/>
          </w:tcPr>
          <w:p w14:paraId="1840C90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858</w:t>
            </w:r>
          </w:p>
        </w:tc>
        <w:tc>
          <w:tcPr>
            <w:tcW w:w="992" w:type="dxa"/>
            <w:vAlign w:val="center"/>
          </w:tcPr>
          <w:p w14:paraId="5FDD2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0,9 </w:t>
            </w:r>
          </w:p>
        </w:tc>
        <w:tc>
          <w:tcPr>
            <w:tcW w:w="1558" w:type="dxa"/>
            <w:vAlign w:val="center"/>
          </w:tcPr>
          <w:p w14:paraId="23EA9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 </w:t>
            </w:r>
          </w:p>
        </w:tc>
      </w:tr>
      <w:tr w14:paraId="6A5181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3794" w:type="dxa"/>
            <w:vAlign w:val="center"/>
          </w:tcPr>
          <w:p w14:paraId="214F46EB">
            <w:pPr>
              <w:spacing w:after="0" w:line="240" w:lineRule="auto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«Пожарная безопасность населенных пунктов Богородского муниципального округа Нижегородской области»</w:t>
            </w:r>
          </w:p>
        </w:tc>
        <w:tc>
          <w:tcPr>
            <w:tcW w:w="1134" w:type="dxa"/>
            <w:vAlign w:val="center"/>
          </w:tcPr>
          <w:p w14:paraId="25E479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101,31</w:t>
            </w:r>
          </w:p>
        </w:tc>
        <w:tc>
          <w:tcPr>
            <w:tcW w:w="992" w:type="dxa"/>
            <w:vAlign w:val="center"/>
          </w:tcPr>
          <w:p w14:paraId="3991D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59,1 </w:t>
            </w:r>
          </w:p>
        </w:tc>
        <w:tc>
          <w:tcPr>
            <w:tcW w:w="1134" w:type="dxa"/>
            <w:vAlign w:val="center"/>
          </w:tcPr>
          <w:p w14:paraId="2B8B9E5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004,74</w:t>
            </w:r>
          </w:p>
        </w:tc>
        <w:tc>
          <w:tcPr>
            <w:tcW w:w="992" w:type="dxa"/>
            <w:vAlign w:val="center"/>
          </w:tcPr>
          <w:p w14:paraId="27377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59,4 </w:t>
            </w:r>
          </w:p>
        </w:tc>
        <w:tc>
          <w:tcPr>
            <w:tcW w:w="1558" w:type="dxa"/>
            <w:vAlign w:val="center"/>
          </w:tcPr>
          <w:p w14:paraId="4652B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99,8 </w:t>
            </w:r>
          </w:p>
        </w:tc>
      </w:tr>
      <w:tr w14:paraId="013568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 w14:paraId="262C9B84">
            <w:pPr>
              <w:spacing w:after="0" w:line="240" w:lineRule="auto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6013DCA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537,74</w:t>
            </w:r>
          </w:p>
        </w:tc>
        <w:tc>
          <w:tcPr>
            <w:tcW w:w="992" w:type="dxa"/>
            <w:vAlign w:val="center"/>
          </w:tcPr>
          <w:p w14:paraId="3C77C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 </w:t>
            </w:r>
          </w:p>
        </w:tc>
        <w:tc>
          <w:tcPr>
            <w:tcW w:w="1134" w:type="dxa"/>
            <w:vAlign w:val="center"/>
          </w:tcPr>
          <w:p w14:paraId="1AAF61A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977,34</w:t>
            </w:r>
          </w:p>
        </w:tc>
        <w:tc>
          <w:tcPr>
            <w:tcW w:w="992" w:type="dxa"/>
            <w:vAlign w:val="center"/>
          </w:tcPr>
          <w:p w14:paraId="7941D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 </w:t>
            </w:r>
          </w:p>
        </w:tc>
        <w:tc>
          <w:tcPr>
            <w:tcW w:w="1558" w:type="dxa"/>
            <w:vAlign w:val="center"/>
          </w:tcPr>
          <w:p w14:paraId="40877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99,4 </w:t>
            </w:r>
          </w:p>
        </w:tc>
      </w:tr>
    </w:tbl>
    <w:p w14:paraId="00A347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Степень достижения плановых значений целевых индикаторов за отчетный период составила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100,0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%. По итогам проведения оценки эффективности реализации муниципальных программ за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год, программа находится на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4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месте. Присвоенная оценка эффективности – высокая.</w:t>
      </w:r>
    </w:p>
    <w:p w14:paraId="621797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</w:p>
    <w:p w14:paraId="654D53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</w:rPr>
        <w:t>13. Муниципальная программа «</w:t>
      </w:r>
      <w:r>
        <w:rPr>
          <w:rFonts w:ascii="Times New Roman" w:hAnsi="Times New Roman" w:cs="Times New Roman"/>
          <w:bCs/>
          <w:i/>
          <w:sz w:val="28"/>
          <w:szCs w:val="28"/>
        </w:rPr>
        <w:t>Информационное общество Богородского муниципального округа Нижегородской области»</w:t>
      </w:r>
    </w:p>
    <w:p w14:paraId="56844D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Расходы по муниципальной программе исполнены в сумме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25 392,07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тыс.рублей или 9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8,9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 от уточненного годового плана. </w:t>
      </w:r>
    </w:p>
    <w:p w14:paraId="792394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Доля расходов по программе в общей сумме программных расходов бюджета округа составляет по кассовому исполнению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0,6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%.</w:t>
      </w:r>
    </w:p>
    <w:p w14:paraId="035069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Информация о структуре финансирования и кассовом исполнении подпрограмм в рамках муниципальной программы  представлена в таблице.</w:t>
      </w:r>
    </w:p>
    <w:p w14:paraId="593ACC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</w:pPr>
    </w:p>
    <w:p w14:paraId="0C86CA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  <w:t>Таблица № 24</w:t>
      </w:r>
    </w:p>
    <w:tbl>
      <w:tblPr>
        <w:tblStyle w:val="10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1134"/>
        <w:gridCol w:w="850"/>
        <w:gridCol w:w="1276"/>
        <w:gridCol w:w="1134"/>
        <w:gridCol w:w="1383"/>
      </w:tblGrid>
      <w:tr w14:paraId="0ED003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Merge w:val="restart"/>
          </w:tcPr>
          <w:p w14:paraId="07A9E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Наименование подпрограммы</w:t>
            </w:r>
          </w:p>
          <w:p w14:paraId="6DBF7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14:paraId="10C8B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Уточненный план на 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 год</w:t>
            </w:r>
          </w:p>
          <w:p w14:paraId="7BC2F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14:paraId="62080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Исполнено за</w:t>
            </w:r>
          </w:p>
          <w:p w14:paraId="4704B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 год</w:t>
            </w:r>
          </w:p>
          <w:p w14:paraId="41ADF5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vMerge w:val="restart"/>
          </w:tcPr>
          <w:p w14:paraId="77F53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% исполнения к годовым назначениям</w:t>
            </w:r>
          </w:p>
        </w:tc>
      </w:tr>
      <w:tr w14:paraId="3493BD5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Merge w:val="continue"/>
          </w:tcPr>
          <w:p w14:paraId="764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322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50" w:type="dxa"/>
          </w:tcPr>
          <w:p w14:paraId="0EA22E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доля,%</w:t>
            </w:r>
          </w:p>
          <w:p w14:paraId="25B7D6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952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тыс. рублей</w:t>
            </w:r>
          </w:p>
          <w:p w14:paraId="36F8F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1BF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доля,%</w:t>
            </w:r>
          </w:p>
          <w:p w14:paraId="45B5D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3" w:type="dxa"/>
            <w:vMerge w:val="continue"/>
          </w:tcPr>
          <w:p w14:paraId="436A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14:paraId="1C2EEA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 w14:paraId="732459B0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  <w:t>"Обеспечение функционирования единой дежурной диспетчерской службы и совершенствование работы системы обеспечения вызова экстренных оперативных служб по единому номеру "112" в Богородском муниципальном округе Нижегородской области"</w:t>
            </w:r>
          </w:p>
        </w:tc>
        <w:tc>
          <w:tcPr>
            <w:tcW w:w="1134" w:type="dxa"/>
            <w:vAlign w:val="center"/>
          </w:tcPr>
          <w:p w14:paraId="0279CB4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10580,35</w:t>
            </w:r>
          </w:p>
        </w:tc>
        <w:tc>
          <w:tcPr>
            <w:tcW w:w="850" w:type="dxa"/>
            <w:vAlign w:val="center"/>
          </w:tcPr>
          <w:p w14:paraId="06058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41,2 </w:t>
            </w:r>
          </w:p>
        </w:tc>
        <w:tc>
          <w:tcPr>
            <w:tcW w:w="1276" w:type="dxa"/>
            <w:vAlign w:val="center"/>
          </w:tcPr>
          <w:p w14:paraId="70B3695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10579,3</w:t>
            </w:r>
          </w:p>
        </w:tc>
        <w:tc>
          <w:tcPr>
            <w:tcW w:w="1134" w:type="dxa"/>
            <w:vAlign w:val="center"/>
          </w:tcPr>
          <w:p w14:paraId="69321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41,7 </w:t>
            </w:r>
          </w:p>
        </w:tc>
        <w:tc>
          <w:tcPr>
            <w:tcW w:w="1383" w:type="dxa"/>
            <w:vAlign w:val="center"/>
          </w:tcPr>
          <w:p w14:paraId="6F1D8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 </w:t>
            </w:r>
          </w:p>
        </w:tc>
      </w:tr>
      <w:tr w14:paraId="3A670C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 w14:paraId="7D0ED9DD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val="en-US" w:eastAsia="zh-CN"/>
              </w:rPr>
              <w:t>"Информационная среда"</w:t>
            </w:r>
          </w:p>
        </w:tc>
        <w:tc>
          <w:tcPr>
            <w:tcW w:w="1134" w:type="dxa"/>
            <w:vAlign w:val="center"/>
          </w:tcPr>
          <w:p w14:paraId="3A86494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11682,09</w:t>
            </w:r>
          </w:p>
        </w:tc>
        <w:tc>
          <w:tcPr>
            <w:tcW w:w="850" w:type="dxa"/>
            <w:vAlign w:val="center"/>
          </w:tcPr>
          <w:p w14:paraId="15AE4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45,5 </w:t>
            </w:r>
          </w:p>
        </w:tc>
        <w:tc>
          <w:tcPr>
            <w:tcW w:w="1276" w:type="dxa"/>
            <w:vAlign w:val="center"/>
          </w:tcPr>
          <w:p w14:paraId="3CC821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11421,5</w:t>
            </w:r>
          </w:p>
        </w:tc>
        <w:tc>
          <w:tcPr>
            <w:tcW w:w="1134" w:type="dxa"/>
            <w:vAlign w:val="center"/>
          </w:tcPr>
          <w:p w14:paraId="157AA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45,0 </w:t>
            </w:r>
          </w:p>
        </w:tc>
        <w:tc>
          <w:tcPr>
            <w:tcW w:w="1383" w:type="dxa"/>
            <w:vAlign w:val="center"/>
          </w:tcPr>
          <w:p w14:paraId="04ABC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97,8 </w:t>
            </w:r>
          </w:p>
        </w:tc>
      </w:tr>
      <w:tr w14:paraId="44E392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 w14:paraId="14605C0D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  <w:t>"Обеспечение сохранности, комплектования, учета и использования архивных документов Богородского муниципального округа Нижегородской области"</w:t>
            </w:r>
          </w:p>
        </w:tc>
        <w:tc>
          <w:tcPr>
            <w:tcW w:w="1134" w:type="dxa"/>
            <w:vAlign w:val="center"/>
          </w:tcPr>
          <w:p w14:paraId="6ED4245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3406,66</w:t>
            </w:r>
          </w:p>
        </w:tc>
        <w:tc>
          <w:tcPr>
            <w:tcW w:w="850" w:type="dxa"/>
            <w:vAlign w:val="center"/>
          </w:tcPr>
          <w:p w14:paraId="3C245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13,3 </w:t>
            </w:r>
          </w:p>
        </w:tc>
        <w:tc>
          <w:tcPr>
            <w:tcW w:w="1276" w:type="dxa"/>
            <w:vAlign w:val="center"/>
          </w:tcPr>
          <w:p w14:paraId="4B9017C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3391,26</w:t>
            </w:r>
          </w:p>
        </w:tc>
        <w:tc>
          <w:tcPr>
            <w:tcW w:w="1134" w:type="dxa"/>
            <w:vAlign w:val="center"/>
          </w:tcPr>
          <w:p w14:paraId="4F504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13,4 </w:t>
            </w:r>
          </w:p>
        </w:tc>
        <w:tc>
          <w:tcPr>
            <w:tcW w:w="1383" w:type="dxa"/>
            <w:vAlign w:val="center"/>
          </w:tcPr>
          <w:p w14:paraId="70011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99,5 </w:t>
            </w:r>
          </w:p>
        </w:tc>
      </w:tr>
      <w:tr w14:paraId="6CFAD9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 w14:paraId="2815F5F6">
            <w:pPr>
              <w:spacing w:after="0" w:line="240" w:lineRule="auto"/>
              <w:textAlignment w:val="center"/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6EC37B3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25669,1</w:t>
            </w:r>
          </w:p>
        </w:tc>
        <w:tc>
          <w:tcPr>
            <w:tcW w:w="850" w:type="dxa"/>
            <w:vAlign w:val="center"/>
          </w:tcPr>
          <w:p w14:paraId="7021C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 </w:t>
            </w:r>
          </w:p>
        </w:tc>
        <w:tc>
          <w:tcPr>
            <w:tcW w:w="1276" w:type="dxa"/>
            <w:vAlign w:val="center"/>
          </w:tcPr>
          <w:p w14:paraId="2A1007D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25392,06</w:t>
            </w:r>
          </w:p>
        </w:tc>
        <w:tc>
          <w:tcPr>
            <w:tcW w:w="1134" w:type="dxa"/>
            <w:vAlign w:val="center"/>
          </w:tcPr>
          <w:p w14:paraId="53D4C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 </w:t>
            </w:r>
          </w:p>
        </w:tc>
        <w:tc>
          <w:tcPr>
            <w:tcW w:w="1383" w:type="dxa"/>
            <w:vAlign w:val="center"/>
          </w:tcPr>
          <w:p w14:paraId="76DFE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98,9 </w:t>
            </w:r>
          </w:p>
        </w:tc>
      </w:tr>
    </w:tbl>
    <w:p w14:paraId="5583BD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Степень достижения плановых значений целевых индикаторов за отчетный период составила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93,2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%. По итогам проведения оценки эффективности реализации муниципальных программ за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год, программа находится на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11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месте. Присвоенная оценка эффективности – высокая.</w:t>
      </w:r>
    </w:p>
    <w:p w14:paraId="42B22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</w:p>
    <w:p w14:paraId="3FC7308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</w:rPr>
        <w:t>Муниципальная программа «</w:t>
      </w:r>
      <w:r>
        <w:rPr>
          <w:rFonts w:ascii="Times New Roman" w:hAnsi="Times New Roman" w:cs="Times New Roman"/>
          <w:bCs/>
          <w:i/>
          <w:sz w:val="28"/>
          <w:szCs w:val="28"/>
        </w:rPr>
        <w:t>Развитие муниципальной службы в Богородском муниципальном округе Нижегородской области»</w:t>
      </w:r>
    </w:p>
    <w:p w14:paraId="554A54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Расходы по муниципальной программе исполнены в сумме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42 383,31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тыс.рублей или 9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9,3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 от уточненного годового плана. </w:t>
      </w:r>
    </w:p>
    <w:p w14:paraId="49C4F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Доля расходов по программе в общей сумме программных расходов бюджета округа составляет по кассовому исполнению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1,0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%.</w:t>
      </w:r>
    </w:p>
    <w:p w14:paraId="1F34B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Информация о структуре финансирования и кассовом исполнении подпрограмм в рамках муниципальной программы  представлена в таблице.</w:t>
      </w:r>
    </w:p>
    <w:p w14:paraId="6E00F2F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  <w:t>Таблица № 25</w:t>
      </w:r>
    </w:p>
    <w:tbl>
      <w:tblPr>
        <w:tblStyle w:val="10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1134"/>
        <w:gridCol w:w="992"/>
        <w:gridCol w:w="1134"/>
        <w:gridCol w:w="992"/>
        <w:gridCol w:w="1525"/>
      </w:tblGrid>
      <w:tr w14:paraId="2F622A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Merge w:val="restart"/>
          </w:tcPr>
          <w:p w14:paraId="34843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Наименование подпрограммы</w:t>
            </w:r>
          </w:p>
          <w:p w14:paraId="31DB83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380D2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Уточненный план на 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 год</w:t>
            </w:r>
          </w:p>
          <w:p w14:paraId="5A56B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1EA9A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Исполнено за</w:t>
            </w:r>
          </w:p>
          <w:p w14:paraId="661C1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 год</w:t>
            </w:r>
          </w:p>
          <w:p w14:paraId="4B0A7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vMerge w:val="restart"/>
          </w:tcPr>
          <w:p w14:paraId="3FAC7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% исполнения к годовым назначениям</w:t>
            </w:r>
          </w:p>
          <w:p w14:paraId="398BA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14:paraId="177D71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Merge w:val="continue"/>
          </w:tcPr>
          <w:p w14:paraId="2893E9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BF61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992" w:type="dxa"/>
          </w:tcPr>
          <w:p w14:paraId="7FADA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доля,%</w:t>
            </w:r>
          </w:p>
          <w:p w14:paraId="6BA15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136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992" w:type="dxa"/>
          </w:tcPr>
          <w:p w14:paraId="3B26FD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доля,%</w:t>
            </w:r>
          </w:p>
          <w:p w14:paraId="2FB06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vMerge w:val="continue"/>
          </w:tcPr>
          <w:p w14:paraId="56508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14:paraId="5637F2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 w14:paraId="357AAA09">
            <w:pPr>
              <w:spacing w:after="0" w:line="240" w:lineRule="auto"/>
              <w:textAlignment w:val="center"/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val="en-US" w:eastAsia="zh-CN"/>
              </w:rPr>
              <w:t>"Развитие муниципальной службы"</w:t>
            </w:r>
          </w:p>
          <w:p w14:paraId="030CC8BD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484D5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96,6</w:t>
            </w:r>
          </w:p>
        </w:tc>
        <w:tc>
          <w:tcPr>
            <w:tcW w:w="992" w:type="dxa"/>
            <w:vAlign w:val="center"/>
          </w:tcPr>
          <w:p w14:paraId="649D2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0,2</w:t>
            </w:r>
          </w:p>
        </w:tc>
        <w:tc>
          <w:tcPr>
            <w:tcW w:w="1134" w:type="dxa"/>
            <w:vAlign w:val="center"/>
          </w:tcPr>
          <w:p w14:paraId="0CDE3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96,6</w:t>
            </w:r>
          </w:p>
        </w:tc>
        <w:tc>
          <w:tcPr>
            <w:tcW w:w="992" w:type="dxa"/>
            <w:vAlign w:val="center"/>
          </w:tcPr>
          <w:p w14:paraId="5F0A9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0,2</w:t>
            </w:r>
          </w:p>
        </w:tc>
        <w:tc>
          <w:tcPr>
            <w:tcW w:w="1525" w:type="dxa"/>
            <w:vAlign w:val="center"/>
          </w:tcPr>
          <w:p w14:paraId="2F510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100,0</w:t>
            </w:r>
          </w:p>
        </w:tc>
      </w:tr>
      <w:tr w14:paraId="0AC86E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 w14:paraId="7F900BF8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  <w:t>"Материально-техническое обеспечение деятельности органов местного самоуправления Богородского муниципального округа Нижегородской области"</w:t>
            </w:r>
          </w:p>
        </w:tc>
        <w:tc>
          <w:tcPr>
            <w:tcW w:w="1134" w:type="dxa"/>
            <w:vAlign w:val="center"/>
          </w:tcPr>
          <w:p w14:paraId="2355E0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42580,01</w:t>
            </w:r>
          </w:p>
        </w:tc>
        <w:tc>
          <w:tcPr>
            <w:tcW w:w="992" w:type="dxa"/>
            <w:vAlign w:val="center"/>
          </w:tcPr>
          <w:p w14:paraId="6C1F1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99,8</w:t>
            </w:r>
          </w:p>
        </w:tc>
        <w:tc>
          <w:tcPr>
            <w:tcW w:w="1134" w:type="dxa"/>
            <w:vAlign w:val="center"/>
          </w:tcPr>
          <w:p w14:paraId="59947B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42286,71</w:t>
            </w:r>
          </w:p>
        </w:tc>
        <w:tc>
          <w:tcPr>
            <w:tcW w:w="992" w:type="dxa"/>
            <w:vAlign w:val="center"/>
          </w:tcPr>
          <w:p w14:paraId="47503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99,8</w:t>
            </w:r>
          </w:p>
        </w:tc>
        <w:tc>
          <w:tcPr>
            <w:tcW w:w="1525" w:type="dxa"/>
            <w:vAlign w:val="center"/>
          </w:tcPr>
          <w:p w14:paraId="0896D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99,3</w:t>
            </w:r>
          </w:p>
        </w:tc>
      </w:tr>
      <w:tr w14:paraId="2BE5B0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 w14:paraId="68BE3787">
            <w:pPr>
              <w:spacing w:after="0" w:line="240" w:lineRule="auto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045370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42676,61</w:t>
            </w:r>
          </w:p>
        </w:tc>
        <w:tc>
          <w:tcPr>
            <w:tcW w:w="992" w:type="dxa"/>
            <w:vAlign w:val="center"/>
          </w:tcPr>
          <w:p w14:paraId="6A7E9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100,0</w:t>
            </w:r>
          </w:p>
        </w:tc>
        <w:tc>
          <w:tcPr>
            <w:tcW w:w="1134" w:type="dxa"/>
            <w:vAlign w:val="center"/>
          </w:tcPr>
          <w:p w14:paraId="5AA741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42383,31</w:t>
            </w:r>
          </w:p>
        </w:tc>
        <w:tc>
          <w:tcPr>
            <w:tcW w:w="992" w:type="dxa"/>
            <w:vAlign w:val="center"/>
          </w:tcPr>
          <w:p w14:paraId="39DF5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100,0</w:t>
            </w:r>
          </w:p>
        </w:tc>
        <w:tc>
          <w:tcPr>
            <w:tcW w:w="1525" w:type="dxa"/>
            <w:vAlign w:val="center"/>
          </w:tcPr>
          <w:p w14:paraId="438A7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99,3</w:t>
            </w:r>
          </w:p>
        </w:tc>
      </w:tr>
    </w:tbl>
    <w:p w14:paraId="4F6F70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Степень достижения плановых значений целевых индикаторов за отчетный период составила 100,0 %. По итогам проведения оценки эффективности реализации муниципальных программ за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год, программа находится на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месте. Присвоенная оценка эффективности – высокая.</w:t>
      </w:r>
    </w:p>
    <w:p w14:paraId="77D574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</w:p>
    <w:p w14:paraId="37BEA2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</w:rPr>
        <w:t xml:space="preserve">15. Муниципальная программа «Формирование комфортной городской среды на территории </w:t>
      </w:r>
      <w:r>
        <w:rPr>
          <w:rFonts w:ascii="Times New Roman" w:hAnsi="Times New Roman" w:cs="Times New Roman"/>
          <w:bCs/>
          <w:i/>
          <w:sz w:val="28"/>
          <w:szCs w:val="28"/>
        </w:rPr>
        <w:t>Богородского муниципального округа Нижегородской области»</w:t>
      </w:r>
    </w:p>
    <w:p w14:paraId="4EEC4F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Расходы по муниципальной программе исполнены в сумме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19 268,75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тыс.рублей или 100,0 % от уточненного годового плана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за счет средств областного и федерального бюджетов.. </w:t>
      </w:r>
    </w:p>
    <w:p w14:paraId="6F2F6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Доля расходов по программе в общей сумме программных расходов бюджета округа составляет по кассовому исполнению 0,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%.</w:t>
      </w:r>
    </w:p>
    <w:p w14:paraId="7534EF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Информация о структуре финансирования и кассовом исполнении подпрограмм в рамках муниципальной программы  представлена в таблице.</w:t>
      </w:r>
    </w:p>
    <w:p w14:paraId="57EFC8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  <w:t>Таблица № 26</w:t>
      </w:r>
    </w:p>
    <w:tbl>
      <w:tblPr>
        <w:tblStyle w:val="10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1134"/>
        <w:gridCol w:w="709"/>
        <w:gridCol w:w="1275"/>
        <w:gridCol w:w="993"/>
        <w:gridCol w:w="1666"/>
      </w:tblGrid>
      <w:tr w14:paraId="7A61D9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Merge w:val="restart"/>
          </w:tcPr>
          <w:p w14:paraId="04DE5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Наименование подпрограммы</w:t>
            </w:r>
          </w:p>
          <w:p w14:paraId="66DCC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71A9A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Уточненный план на 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 год</w:t>
            </w:r>
          </w:p>
          <w:p w14:paraId="1D330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78B720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Исполнено за</w:t>
            </w:r>
          </w:p>
          <w:p w14:paraId="737BF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 год</w:t>
            </w:r>
          </w:p>
          <w:p w14:paraId="46B0C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vMerge w:val="restart"/>
          </w:tcPr>
          <w:p w14:paraId="0754B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% исполнения к годовым назначениям</w:t>
            </w:r>
          </w:p>
          <w:p w14:paraId="48012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14:paraId="475513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Merge w:val="continue"/>
          </w:tcPr>
          <w:p w14:paraId="70FFCE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C07F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тыс. рублей</w:t>
            </w:r>
          </w:p>
          <w:p w14:paraId="5CEF6E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42A9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доля,%</w:t>
            </w:r>
          </w:p>
          <w:p w14:paraId="22CCF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D3E27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тыс. рублей</w:t>
            </w:r>
          </w:p>
          <w:p w14:paraId="4A680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47C30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доля,%</w:t>
            </w:r>
          </w:p>
          <w:p w14:paraId="6C7ED6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vMerge w:val="continue"/>
          </w:tcPr>
          <w:p w14:paraId="4AF82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14:paraId="3F0C81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515984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val="en-US" w:eastAsia="zh-CN"/>
              </w:rPr>
              <w:t>"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Благоустройство общественных пространств</w:t>
            </w: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val="en-US" w:eastAsia="zh-CN"/>
              </w:rPr>
              <w:t>"</w:t>
            </w:r>
          </w:p>
        </w:tc>
        <w:tc>
          <w:tcPr>
            <w:tcW w:w="1134" w:type="dxa"/>
            <w:vAlign w:val="center"/>
          </w:tcPr>
          <w:p w14:paraId="03438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20188,96</w:t>
            </w:r>
          </w:p>
        </w:tc>
        <w:tc>
          <w:tcPr>
            <w:tcW w:w="709" w:type="dxa"/>
            <w:vAlign w:val="center"/>
          </w:tcPr>
          <w:p w14:paraId="1342D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1275" w:type="dxa"/>
            <w:vAlign w:val="center"/>
          </w:tcPr>
          <w:p w14:paraId="4C489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20188,96</w:t>
            </w:r>
          </w:p>
        </w:tc>
        <w:tc>
          <w:tcPr>
            <w:tcW w:w="993" w:type="dxa"/>
            <w:vAlign w:val="center"/>
          </w:tcPr>
          <w:p w14:paraId="6B6B0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1666" w:type="dxa"/>
            <w:vAlign w:val="center"/>
          </w:tcPr>
          <w:p w14:paraId="3BBC2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100,0</w:t>
            </w:r>
          </w:p>
        </w:tc>
      </w:tr>
      <w:tr w14:paraId="2F3081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0B0EE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3F3CD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20188,96</w:t>
            </w:r>
          </w:p>
        </w:tc>
        <w:tc>
          <w:tcPr>
            <w:tcW w:w="709" w:type="dxa"/>
            <w:vAlign w:val="center"/>
          </w:tcPr>
          <w:p w14:paraId="203BE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1275" w:type="dxa"/>
            <w:vAlign w:val="center"/>
          </w:tcPr>
          <w:p w14:paraId="52BD4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20188,96</w:t>
            </w:r>
          </w:p>
        </w:tc>
        <w:tc>
          <w:tcPr>
            <w:tcW w:w="993" w:type="dxa"/>
            <w:vAlign w:val="center"/>
          </w:tcPr>
          <w:p w14:paraId="07D0A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1666" w:type="dxa"/>
            <w:vAlign w:val="center"/>
          </w:tcPr>
          <w:p w14:paraId="047D8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100,0</w:t>
            </w:r>
          </w:p>
        </w:tc>
      </w:tr>
    </w:tbl>
    <w:p w14:paraId="5D3E28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Степень достижения плановых значений целевых индикаторов за отчетный период составила 100,0 %. По итогам проведения оценки эффективности реализации муниципальных программ за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год, программа находится на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1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месте. Присвоенная оценка эффективности – высокая.</w:t>
      </w:r>
    </w:p>
    <w:p w14:paraId="076D6C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</w:p>
    <w:p w14:paraId="52D20B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</w:rPr>
        <w:t xml:space="preserve">16. </w:t>
      </w:r>
      <w:r>
        <w:rPr>
          <w:rFonts w:ascii="Times New Roman" w:hAnsi="Times New Roman" w:eastAsia="Times New Roman,Bold"/>
          <w:bCs/>
          <w:i/>
          <w:iCs/>
          <w:color w:val="000000"/>
          <w:sz w:val="28"/>
          <w:szCs w:val="28"/>
        </w:rPr>
        <w:t>Муниципальная программа Богородского муниципального округа Нижегородской области «Улучшение качества жизни и обеспечение безопасности жителей Богородского муниципального округа Нижегородской области»</w:t>
      </w:r>
    </w:p>
    <w:p w14:paraId="7AD4D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Расходы по муниципальной программе исполнены в сумме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222 349,47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тыс.рублей или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97,5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 от уточненного годового плана. </w:t>
      </w:r>
    </w:p>
    <w:p w14:paraId="09CC26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Доля расходов по программе в общей сумме программных расходов бюджета округа составляет по кассовому исполнению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5,3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%.</w:t>
      </w:r>
    </w:p>
    <w:p w14:paraId="4FA1AB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Информация о структуре финансирования и кассовом исполнении подпрограмм в рамках муниципальной программы  представлена в таблице.</w:t>
      </w:r>
    </w:p>
    <w:p w14:paraId="348294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  <w:t>Таблица № 27</w:t>
      </w:r>
    </w:p>
    <w:tbl>
      <w:tblPr>
        <w:tblStyle w:val="10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1134"/>
        <w:gridCol w:w="709"/>
        <w:gridCol w:w="1275"/>
        <w:gridCol w:w="993"/>
        <w:gridCol w:w="1666"/>
      </w:tblGrid>
      <w:tr w14:paraId="0A5EF51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Merge w:val="restart"/>
          </w:tcPr>
          <w:p w14:paraId="3752E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Наименование подпрограммы</w:t>
            </w:r>
          </w:p>
          <w:p w14:paraId="7F3F8F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553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Уточненный план на 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 год</w:t>
            </w:r>
          </w:p>
          <w:p w14:paraId="4A5F5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1543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Исполнено за</w:t>
            </w:r>
          </w:p>
          <w:p w14:paraId="0CAEDE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 год</w:t>
            </w:r>
          </w:p>
          <w:p w14:paraId="3AD38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vMerge w:val="restart"/>
          </w:tcPr>
          <w:p w14:paraId="55DBB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% исполнения к годовым назначениям</w:t>
            </w:r>
          </w:p>
          <w:p w14:paraId="0C436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14:paraId="40C50E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Merge w:val="continue"/>
          </w:tcPr>
          <w:p w14:paraId="4B8D5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47F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тыс. рублей</w:t>
            </w:r>
          </w:p>
          <w:p w14:paraId="6624A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A735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доля,%</w:t>
            </w:r>
          </w:p>
          <w:p w14:paraId="5801F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DC1E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тыс. рублей</w:t>
            </w:r>
          </w:p>
          <w:p w14:paraId="0F1B7D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5E9BD0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доля,%</w:t>
            </w:r>
          </w:p>
          <w:p w14:paraId="2A80E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vMerge w:val="continue"/>
          </w:tcPr>
          <w:p w14:paraId="594E1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14:paraId="2841643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 w14:paraId="018E3B0C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  <w:t>«Развитие коммунальной инфраструктуры и благоустройство населенных пунктов Богородского муниципального округа Нижегородской области»</w:t>
            </w:r>
          </w:p>
        </w:tc>
        <w:tc>
          <w:tcPr>
            <w:tcW w:w="1134" w:type="dxa"/>
            <w:vAlign w:val="center"/>
          </w:tcPr>
          <w:p w14:paraId="14C6084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212387,6</w:t>
            </w:r>
          </w:p>
        </w:tc>
        <w:tc>
          <w:tcPr>
            <w:tcW w:w="709" w:type="dxa"/>
            <w:vAlign w:val="center"/>
          </w:tcPr>
          <w:p w14:paraId="2CA0F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93,2 </w:t>
            </w:r>
          </w:p>
        </w:tc>
        <w:tc>
          <w:tcPr>
            <w:tcW w:w="1275" w:type="dxa"/>
            <w:vAlign w:val="center"/>
          </w:tcPr>
          <w:p w14:paraId="4AD45C6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206810,73</w:t>
            </w:r>
          </w:p>
        </w:tc>
        <w:tc>
          <w:tcPr>
            <w:tcW w:w="993" w:type="dxa"/>
            <w:vAlign w:val="center"/>
          </w:tcPr>
          <w:p w14:paraId="49477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93,0 </w:t>
            </w:r>
          </w:p>
        </w:tc>
        <w:tc>
          <w:tcPr>
            <w:tcW w:w="1666" w:type="dxa"/>
            <w:vAlign w:val="center"/>
          </w:tcPr>
          <w:p w14:paraId="0D23C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97,4 </w:t>
            </w:r>
          </w:p>
        </w:tc>
      </w:tr>
      <w:tr w14:paraId="277D79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 w14:paraId="1484FABF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val="en-US" w:eastAsia="zh-CN"/>
              </w:rPr>
              <w:t>“Обеспечение реализации муниципальной программы”</w:t>
            </w:r>
          </w:p>
        </w:tc>
        <w:tc>
          <w:tcPr>
            <w:tcW w:w="1134" w:type="dxa"/>
            <w:vAlign w:val="center"/>
          </w:tcPr>
          <w:p w14:paraId="5E502A6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15550</w:t>
            </w:r>
          </w:p>
        </w:tc>
        <w:tc>
          <w:tcPr>
            <w:tcW w:w="709" w:type="dxa"/>
            <w:vAlign w:val="center"/>
          </w:tcPr>
          <w:p w14:paraId="13B4F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6,8 </w:t>
            </w:r>
          </w:p>
        </w:tc>
        <w:tc>
          <w:tcPr>
            <w:tcW w:w="1275" w:type="dxa"/>
            <w:vAlign w:val="center"/>
          </w:tcPr>
          <w:p w14:paraId="7AD6C0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15538,74</w:t>
            </w:r>
          </w:p>
        </w:tc>
        <w:tc>
          <w:tcPr>
            <w:tcW w:w="993" w:type="dxa"/>
            <w:vAlign w:val="center"/>
          </w:tcPr>
          <w:p w14:paraId="53F2C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7,0 </w:t>
            </w:r>
          </w:p>
        </w:tc>
        <w:tc>
          <w:tcPr>
            <w:tcW w:w="1666" w:type="dxa"/>
            <w:vAlign w:val="center"/>
          </w:tcPr>
          <w:p w14:paraId="426D2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99,9 </w:t>
            </w:r>
          </w:p>
        </w:tc>
      </w:tr>
      <w:tr w14:paraId="0F2F5B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 w14:paraId="18C0F5A7">
            <w:pPr>
              <w:spacing w:after="0" w:line="240" w:lineRule="auto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5CBA351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227937,6</w:t>
            </w:r>
          </w:p>
        </w:tc>
        <w:tc>
          <w:tcPr>
            <w:tcW w:w="709" w:type="dxa"/>
            <w:vAlign w:val="center"/>
          </w:tcPr>
          <w:p w14:paraId="4C640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100,0 </w:t>
            </w:r>
          </w:p>
        </w:tc>
        <w:tc>
          <w:tcPr>
            <w:tcW w:w="1275" w:type="dxa"/>
            <w:vAlign w:val="center"/>
          </w:tcPr>
          <w:p w14:paraId="6A5BF77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222349,47</w:t>
            </w:r>
          </w:p>
        </w:tc>
        <w:tc>
          <w:tcPr>
            <w:tcW w:w="993" w:type="dxa"/>
            <w:vAlign w:val="center"/>
          </w:tcPr>
          <w:p w14:paraId="73F6C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 </w:t>
            </w:r>
          </w:p>
        </w:tc>
        <w:tc>
          <w:tcPr>
            <w:tcW w:w="1666" w:type="dxa"/>
            <w:vAlign w:val="center"/>
          </w:tcPr>
          <w:p w14:paraId="0EBA1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97,5 </w:t>
            </w:r>
          </w:p>
        </w:tc>
      </w:tr>
    </w:tbl>
    <w:p w14:paraId="512B0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Степень достижения плановых значений целевых индикаторов за отчетный период составила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100,0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%. По итогам проведения оценки эффективности реализации муниципальных программ за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год, программа находится на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месте. Присвоенная оценка эффективности –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высша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я.</w:t>
      </w:r>
    </w:p>
    <w:p w14:paraId="49D9CD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</w:p>
    <w:p w14:paraId="37093C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</w:rPr>
        <w:t xml:space="preserve">17. </w:t>
      </w:r>
      <w:r>
        <w:rPr>
          <w:rFonts w:ascii="Times New Roman" w:hAnsi="Times New Roman" w:eastAsia="Times New Roman,Bold"/>
          <w:bCs/>
          <w:i/>
          <w:iCs/>
          <w:color w:val="000000"/>
          <w:sz w:val="28"/>
          <w:szCs w:val="28"/>
        </w:rPr>
        <w:t>Муниципальная программа Богородского муниципального округа Нижегородской области «Энергосбережение и повышение энергетической эффективности на территории Богородского муниципального округа»</w:t>
      </w:r>
    </w:p>
    <w:p w14:paraId="5BA60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Расходы по муниципальной программе исполнены в сумме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19,80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тыс.рублей или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100,0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 от уточненного годового плана. </w:t>
      </w:r>
    </w:p>
    <w:p w14:paraId="61729D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Доля расходов по программе в общей сумме программных расходов бюджета округа составляет по кассовому исполнению менее 0,1 %.</w:t>
      </w:r>
    </w:p>
    <w:p w14:paraId="556E98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Информация о структуре финансирования и кассовом исполнении подпрограмм в рамках муниципальной программы  представлена в таблице.</w:t>
      </w:r>
    </w:p>
    <w:p w14:paraId="258316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</w:pPr>
    </w:p>
    <w:p w14:paraId="174A04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  <w:t>Таблица № 27</w:t>
      </w:r>
    </w:p>
    <w:tbl>
      <w:tblPr>
        <w:tblStyle w:val="10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1134"/>
        <w:gridCol w:w="873"/>
        <w:gridCol w:w="1111"/>
        <w:gridCol w:w="993"/>
        <w:gridCol w:w="1666"/>
      </w:tblGrid>
      <w:tr w14:paraId="6342A0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Merge w:val="restart"/>
          </w:tcPr>
          <w:p w14:paraId="0FDE8A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Наименование подпрограммы</w:t>
            </w:r>
          </w:p>
          <w:p w14:paraId="45DF4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007" w:type="dxa"/>
            <w:gridSpan w:val="2"/>
          </w:tcPr>
          <w:p w14:paraId="0EC4C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Уточненный план на 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 год</w:t>
            </w:r>
          </w:p>
          <w:p w14:paraId="6AA82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104" w:type="dxa"/>
            <w:gridSpan w:val="2"/>
          </w:tcPr>
          <w:p w14:paraId="050D3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Исполнено за</w:t>
            </w:r>
          </w:p>
          <w:p w14:paraId="5339C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 xml:space="preserve"> год</w:t>
            </w:r>
          </w:p>
          <w:p w14:paraId="2A87A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vMerge w:val="restart"/>
          </w:tcPr>
          <w:p w14:paraId="26365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% исполнения к годовым назначениям</w:t>
            </w:r>
          </w:p>
          <w:p w14:paraId="677B4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14:paraId="6644FD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Merge w:val="continue"/>
          </w:tcPr>
          <w:p w14:paraId="1FD46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D88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тыс. рублей</w:t>
            </w:r>
          </w:p>
          <w:p w14:paraId="3DFEB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</w:tcPr>
          <w:p w14:paraId="17911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доля,%</w:t>
            </w:r>
          </w:p>
          <w:p w14:paraId="1BB03F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</w:tcPr>
          <w:p w14:paraId="11AA86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тыс. рублей</w:t>
            </w:r>
          </w:p>
          <w:p w14:paraId="626E86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8C0B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  <w:t>доля,%</w:t>
            </w:r>
          </w:p>
          <w:p w14:paraId="24254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vMerge w:val="continue"/>
          </w:tcPr>
          <w:p w14:paraId="76699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14:paraId="75B0C6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3794" w:type="dxa"/>
            <w:vAlign w:val="center"/>
          </w:tcPr>
          <w:p w14:paraId="1CFB2C63">
            <w:pPr>
              <w:spacing w:after="0" w:line="240" w:lineRule="auto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Arial CYR" w:cs="Times New Roman"/>
                <w:color w:val="000000"/>
                <w:sz w:val="20"/>
                <w:szCs w:val="20"/>
                <w:lang w:eastAsia="zh-CN"/>
              </w:rPr>
              <w:t>«Энергосбережение и повышение энергетической эффективности в организациях с участием муниципального образования  Богородский муниципальный округ»</w:t>
            </w:r>
          </w:p>
        </w:tc>
        <w:tc>
          <w:tcPr>
            <w:tcW w:w="1134" w:type="dxa"/>
            <w:vAlign w:val="center"/>
          </w:tcPr>
          <w:p w14:paraId="6829428C">
            <w:pP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19,80</w:t>
            </w:r>
          </w:p>
        </w:tc>
        <w:tc>
          <w:tcPr>
            <w:tcW w:w="873" w:type="dxa"/>
            <w:vAlign w:val="center"/>
          </w:tcPr>
          <w:p w14:paraId="3541E51B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11" w:type="dxa"/>
            <w:vAlign w:val="center"/>
          </w:tcPr>
          <w:p w14:paraId="5AC8DF19">
            <w:pP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19,80</w:t>
            </w:r>
          </w:p>
        </w:tc>
        <w:tc>
          <w:tcPr>
            <w:tcW w:w="993" w:type="dxa"/>
            <w:vAlign w:val="center"/>
          </w:tcPr>
          <w:p w14:paraId="542F175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  <w:t>10</w:t>
            </w:r>
            <w:r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6" w:type="dxa"/>
            <w:vAlign w:val="center"/>
          </w:tcPr>
          <w:p w14:paraId="10B23B59">
            <w:pPr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  <w:t>100,0</w:t>
            </w:r>
          </w:p>
        </w:tc>
      </w:tr>
      <w:tr w14:paraId="76563F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  <w:vAlign w:val="center"/>
          </w:tcPr>
          <w:p w14:paraId="5863E0D7">
            <w:pPr>
              <w:spacing w:after="0" w:line="240" w:lineRule="auto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53E4F761">
            <w:pP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19,80</w:t>
            </w:r>
          </w:p>
        </w:tc>
        <w:tc>
          <w:tcPr>
            <w:tcW w:w="873" w:type="dxa"/>
            <w:vAlign w:val="center"/>
          </w:tcPr>
          <w:p w14:paraId="4E7B08AC">
            <w:pPr>
              <w:spacing w:after="0" w:line="240" w:lineRule="auto"/>
              <w:jc w:val="center"/>
              <w:textAlignment w:val="center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11" w:type="dxa"/>
            <w:vAlign w:val="center"/>
          </w:tcPr>
          <w:p w14:paraId="151D54A5">
            <w:pPr>
              <w:spacing w:after="0" w:line="240" w:lineRule="auto"/>
              <w:jc w:val="center"/>
              <w:textAlignment w:val="center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lang w:val="ru-RU"/>
              </w:rPr>
              <w:t>19,80</w:t>
            </w:r>
          </w:p>
        </w:tc>
        <w:tc>
          <w:tcPr>
            <w:tcW w:w="993" w:type="dxa"/>
            <w:vAlign w:val="center"/>
          </w:tcPr>
          <w:p w14:paraId="0DD7F250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  <w:t>10</w:t>
            </w:r>
            <w:r>
              <w:rPr>
                <w:rFonts w:ascii="Times New Roman" w:hAnsi="Times New Roman" w:eastAsia="Times New Roman,Bold" w:cs="Times New Roman"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6" w:type="dxa"/>
            <w:vAlign w:val="center"/>
          </w:tcPr>
          <w:p w14:paraId="4610C30C">
            <w:pPr>
              <w:spacing w:after="0" w:line="240" w:lineRule="auto"/>
              <w:jc w:val="center"/>
              <w:textAlignment w:val="bottom"/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iCs/>
                <w:color w:val="000000"/>
                <w:sz w:val="20"/>
                <w:szCs w:val="20"/>
                <w:lang w:val="ru-RU"/>
              </w:rPr>
              <w:t>100,0</w:t>
            </w:r>
          </w:p>
        </w:tc>
      </w:tr>
    </w:tbl>
    <w:p w14:paraId="428859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Степень достижения плановых значений целевых индикаторов за отчетный период составила 8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4,9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%. По итогам проведения оценки эффективности реализации муниципальных программ за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год, программа находится на 1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месте. Присвоенная оценка эффективности –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удовлетворительна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я.</w:t>
      </w:r>
    </w:p>
    <w:p w14:paraId="68A0E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</w:p>
    <w:p w14:paraId="6B817D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,Bold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/>
          <w:bCs/>
          <w:iCs/>
          <w:color w:val="000000"/>
          <w:sz w:val="28"/>
          <w:szCs w:val="28"/>
        </w:rPr>
        <w:t xml:space="preserve">6.3. Резервные фонды администрации Богородского муниципального округа Нижегородской области </w:t>
      </w:r>
    </w:p>
    <w:p w14:paraId="14B12D62">
      <w:pPr>
        <w:autoSpaceDE w:val="0"/>
        <w:autoSpaceDN w:val="0"/>
        <w:adjustRightInd w:val="0"/>
        <w:spacing w:after="0" w:line="240" w:lineRule="auto"/>
        <w:ind w:left="0" w:leftChars="0" w:firstLine="658" w:firstLineChars="235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Решением о бюджете на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год резервные фонды администрации Богородского муниципального округа первоначально были утверждены в сумме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41 977,75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тыс.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рублей, что составило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1,2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 от утвержденного общего объема расходов.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За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год объем резервного фонда уменьшен на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35 040,41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yellow"/>
        </w:rPr>
        <w:t xml:space="preserve">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тыс.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рублей.</w:t>
      </w:r>
    </w:p>
    <w:p w14:paraId="6F447B14">
      <w:pPr>
        <w:autoSpaceDE w:val="0"/>
        <w:autoSpaceDN w:val="0"/>
        <w:adjustRightInd w:val="0"/>
        <w:spacing w:after="0" w:line="240" w:lineRule="auto"/>
        <w:ind w:left="0" w:leftChars="0" w:firstLine="658" w:firstLineChars="2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постановлениями администрации Богородского муниципального округа Нижегородской области от 24.03.2021 № 727 «Об утверждении Порядка создания, использования и восполнения резервного фонда администрации Богородского муниципального округа Нижегородской области для предупреждения и ликвидации чрезвычайных ситуаций» и от 24.03.2021 № 726 «Об утверждении Порядка использования бюджетных ассигнований резервного фонда администрации Богородского муниципального округа Нижегородской области» </w:t>
      </w:r>
      <w:r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внесены изменения в сводную бюджетную роспись о выделении из резервных фондов бюджетных ассигнований в сумме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6 937,33 </w:t>
      </w:r>
      <w:r>
        <w:rPr>
          <w:rFonts w:ascii="Times New Roman" w:hAnsi="Times New Roman" w:cs="Times New Roman"/>
          <w:sz w:val="28"/>
          <w:szCs w:val="28"/>
        </w:rPr>
        <w:t>тыс. рублей.</w:t>
      </w:r>
    </w:p>
    <w:p w14:paraId="0A627CFB">
      <w:pPr>
        <w:autoSpaceDE w:val="0"/>
        <w:autoSpaceDN w:val="0"/>
        <w:adjustRightInd w:val="0"/>
        <w:spacing w:after="0" w:line="240" w:lineRule="auto"/>
        <w:ind w:left="0" w:leftChars="0" w:firstLine="658" w:firstLineChars="235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Исполнение расходов бюджета округа за счет средств резервных фондов составило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5 623,56</w:t>
      </w:r>
      <w:r>
        <w:rPr>
          <w:rFonts w:ascii="Times New Roman" w:hAnsi="Times New Roman" w:cs="Times New Roman"/>
          <w:sz w:val="28"/>
          <w:szCs w:val="28"/>
        </w:rPr>
        <w:t xml:space="preserve"> тыс. рублей, из них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326,56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 направлено 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>варийно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highlight w:val="none"/>
          <w:lang w:val="ru-RU"/>
        </w:rPr>
        <w:t>восстановительных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 работ на обследование несущих конструкций многоквартирного дома № 15 по ул.Огарева, ремонт передвижной электростанции в целях проведения мероприятий по предупреждению ЧС - 30,00 тыс.рублей, о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стальные средства 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 xml:space="preserve">5 267,00 тыс.рублей </w:t>
      </w:r>
      <w:r>
        <w:rPr>
          <w:rFonts w:ascii="Times New Roman" w:hAnsi="Times New Roman" w:cs="Times New Roman"/>
          <w:sz w:val="28"/>
          <w:szCs w:val="28"/>
          <w:highlight w:val="none"/>
        </w:rPr>
        <w:t>направлены на оказание материальной помощи гражданам.</w:t>
      </w:r>
    </w:p>
    <w:p w14:paraId="2DB4D576">
      <w:pPr>
        <w:autoSpaceDE w:val="0"/>
        <w:autoSpaceDN w:val="0"/>
        <w:adjustRightInd w:val="0"/>
        <w:spacing w:after="0" w:line="240" w:lineRule="auto"/>
        <w:ind w:left="0" w:leftChars="0" w:firstLine="658" w:firstLineChars="235"/>
        <w:jc w:val="both"/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Нераспределенный остаток резервных фондов составил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 xml:space="preserve">1 313,77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>тыс.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рублей.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 xml:space="preserve"> </w:t>
      </w:r>
    </w:p>
    <w:p w14:paraId="19E629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,Bold" w:cs="Times New Roman"/>
          <w:b/>
          <w:bCs/>
          <w:iCs/>
          <w:color w:val="000000"/>
          <w:sz w:val="28"/>
          <w:szCs w:val="28"/>
        </w:rPr>
      </w:pPr>
      <w:r>
        <w:rPr>
          <w:rFonts w:hint="default" w:ascii="Times New Roman" w:hAnsi="Times New Roman" w:eastAsia="Times New Roman,Bold" w:cs="Times New Roman"/>
          <w:b/>
          <w:bCs/>
          <w:i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,Bold" w:cs="Times New Roman"/>
          <w:b/>
          <w:bCs/>
          <w:iCs/>
          <w:color w:val="000000"/>
          <w:sz w:val="28"/>
          <w:szCs w:val="28"/>
        </w:rPr>
        <w:t xml:space="preserve">6.4. Дорожный фонд </w:t>
      </w:r>
    </w:p>
    <w:p w14:paraId="147203FA">
      <w:pPr>
        <w:spacing w:before="100" w:beforeAutospacing="1" w:after="119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 соответствии с данными представленного Отчета об использовании бюджетных ассигнований муниципальный дорожный фонд за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 сформирован в сумме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112 814,51</w:t>
      </w:r>
      <w:r>
        <w:rPr>
          <w:rFonts w:ascii="Times New Roman" w:hAnsi="Times New Roman" w:eastAsia="Times New Roman" w:cs="Times New Roman"/>
          <w:sz w:val="28"/>
          <w:szCs w:val="28"/>
        </w:rPr>
        <w:t> тыс.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рублей за счет следующих источников:</w:t>
      </w:r>
    </w:p>
    <w:p w14:paraId="42486EA5">
      <w:pPr>
        <w:autoSpaceDE w:val="0"/>
        <w:autoSpaceDN w:val="0"/>
        <w:adjustRightInd w:val="0"/>
        <w:spacing w:after="0" w:line="240" w:lineRule="auto"/>
        <w:ind w:firstLine="658" w:firstLineChars="23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 доходов от поступления акцизов по подакцизным товарам, </w:t>
      </w:r>
      <w:r>
        <w:rPr>
          <w:rFonts w:ascii="Times New Roman" w:hAnsi="Times New Roman" w:cs="Times New Roman"/>
          <w:sz w:val="28"/>
          <w:szCs w:val="28"/>
        </w:rPr>
        <w:t xml:space="preserve">производимым на территории Российской Федерации, </w:t>
      </w:r>
      <w:r>
        <w:rPr>
          <w:rFonts w:ascii="Times New Roman" w:hAnsi="Times New Roman" w:eastAsia="Times New Roman" w:cs="Times New Roman"/>
          <w:sz w:val="28"/>
          <w:szCs w:val="28"/>
        </w:rPr>
        <w:t>за 202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 в сумме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53 702,62</w:t>
      </w:r>
      <w:r>
        <w:rPr>
          <w:rFonts w:ascii="Times New Roman" w:hAnsi="Times New Roman" w:eastAsia="Times New Roman" w:cs="Times New Roman"/>
          <w:sz w:val="28"/>
          <w:szCs w:val="28"/>
        </w:rPr>
        <w:t> тыс. рублей;</w:t>
      </w:r>
    </w:p>
    <w:p w14:paraId="606321D1">
      <w:pPr>
        <w:spacing w:before="100" w:beforeAutospacing="1" w:after="119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поступления в виде межбюджетных трансфертов из областного бюджета в сумме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51 867,03</w:t>
      </w:r>
      <w:r>
        <w:rPr>
          <w:rFonts w:ascii="Times New Roman" w:hAnsi="Times New Roman" w:eastAsia="Times New Roman" w:cs="Times New Roman"/>
          <w:sz w:val="28"/>
          <w:szCs w:val="28"/>
        </w:rPr>
        <w:t> тыс. рублей;</w:t>
      </w:r>
    </w:p>
    <w:p w14:paraId="4EBC8E5A">
      <w:pPr>
        <w:spacing w:before="100" w:beforeAutospacing="1" w:after="119" w:line="240" w:lineRule="auto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 остатков бюджетных ассигнований муниципального дорожного фонда, не использованных в 202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году, в сумме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/>
        </w:rPr>
        <w:t>7 244,86</w:t>
      </w:r>
      <w:r>
        <w:rPr>
          <w:rFonts w:ascii="Times New Roman" w:hAnsi="Times New Roman" w:eastAsia="Times New Roman" w:cs="Times New Roman"/>
          <w:sz w:val="28"/>
          <w:szCs w:val="28"/>
        </w:rPr>
        <w:t> тыс. рублей.</w:t>
      </w:r>
    </w:p>
    <w:p w14:paraId="58DAED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</w:rPr>
        <w:t>Таблица № 28</w:t>
      </w:r>
    </w:p>
    <w:p w14:paraId="7C8ED3E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,Bold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4"/>
          <w:szCs w:val="24"/>
        </w:rPr>
        <w:t>(тыс.рублей)</w:t>
      </w:r>
    </w:p>
    <w:tbl>
      <w:tblPr>
        <w:tblStyle w:val="10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2393"/>
        <w:gridCol w:w="2393"/>
        <w:gridCol w:w="2393"/>
      </w:tblGrid>
      <w:tr w14:paraId="30C116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24FE5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</w:rPr>
              <w:t>Наименование</w:t>
            </w:r>
          </w:p>
          <w:p w14:paraId="71874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2393" w:type="dxa"/>
          </w:tcPr>
          <w:p w14:paraId="24EA1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</w:rPr>
              <w:t>Уточненный показатель на 202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lang w:val="ru-RU"/>
              </w:rPr>
              <w:t>5</w:t>
            </w: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</w:rPr>
              <w:t xml:space="preserve"> год</w:t>
            </w:r>
          </w:p>
          <w:p w14:paraId="1540C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2393" w:type="dxa"/>
          </w:tcPr>
          <w:p w14:paraId="62EA3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</w:rPr>
              <w:t>Исполнено доходов  на 01.01.2025</w:t>
            </w:r>
          </w:p>
          <w:p w14:paraId="42EA1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</w:rPr>
            </w:pPr>
          </w:p>
        </w:tc>
        <w:tc>
          <w:tcPr>
            <w:tcW w:w="2393" w:type="dxa"/>
          </w:tcPr>
          <w:p w14:paraId="66807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</w:rPr>
              <w:t>% исполнения к году</w:t>
            </w:r>
          </w:p>
          <w:p w14:paraId="3EE6C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</w:rPr>
            </w:pPr>
          </w:p>
        </w:tc>
      </w:tr>
      <w:tr w14:paraId="7FCC05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3369DC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</w:rPr>
              <w:t>Остатки на начало года</w:t>
            </w:r>
          </w:p>
        </w:tc>
        <w:tc>
          <w:tcPr>
            <w:tcW w:w="2393" w:type="dxa"/>
          </w:tcPr>
          <w:p w14:paraId="556A87B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lang w:val="ru-RU"/>
              </w:rPr>
              <w:t>7 244,86</w:t>
            </w:r>
          </w:p>
        </w:tc>
        <w:tc>
          <w:tcPr>
            <w:tcW w:w="2393" w:type="dxa"/>
          </w:tcPr>
          <w:p w14:paraId="4CBD788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lang w:val="ru-RU"/>
              </w:rPr>
              <w:t>7 244,86</w:t>
            </w:r>
          </w:p>
        </w:tc>
        <w:tc>
          <w:tcPr>
            <w:tcW w:w="2393" w:type="dxa"/>
          </w:tcPr>
          <w:p w14:paraId="66A55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</w:rPr>
              <w:t>х</w:t>
            </w:r>
          </w:p>
          <w:p w14:paraId="1706BA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</w:rPr>
            </w:pPr>
          </w:p>
        </w:tc>
      </w:tr>
      <w:tr w14:paraId="325244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750AE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</w:rPr>
              <w:t>Налоговые и неналоговые доходы</w:t>
            </w:r>
          </w:p>
        </w:tc>
        <w:tc>
          <w:tcPr>
            <w:tcW w:w="2393" w:type="dxa"/>
          </w:tcPr>
          <w:p w14:paraId="0C98779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lang w:val="ru-RU"/>
              </w:rPr>
              <w:t>54 396,00</w:t>
            </w:r>
          </w:p>
        </w:tc>
        <w:tc>
          <w:tcPr>
            <w:tcW w:w="2393" w:type="dxa"/>
          </w:tcPr>
          <w:p w14:paraId="7F465ED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</w:rPr>
              <w:t>5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lang w:val="ru-RU"/>
              </w:rPr>
              <w:t>3 702,62</w:t>
            </w:r>
          </w:p>
        </w:tc>
        <w:tc>
          <w:tcPr>
            <w:tcW w:w="2393" w:type="dxa"/>
          </w:tcPr>
          <w:p w14:paraId="764E08D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lang w:val="ru-RU"/>
              </w:rPr>
              <w:t>98,7</w:t>
            </w:r>
          </w:p>
        </w:tc>
      </w:tr>
      <w:tr w14:paraId="1D5863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2" w:type="dxa"/>
          </w:tcPr>
          <w:p w14:paraId="4F88D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</w:rPr>
              <w:t>Поступления из областного бюджета</w:t>
            </w:r>
          </w:p>
        </w:tc>
        <w:tc>
          <w:tcPr>
            <w:tcW w:w="2393" w:type="dxa"/>
          </w:tcPr>
          <w:p w14:paraId="168B267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lang w:val="ru-RU"/>
              </w:rPr>
              <w:t>51 867,03</w:t>
            </w:r>
          </w:p>
        </w:tc>
        <w:tc>
          <w:tcPr>
            <w:tcW w:w="2393" w:type="dxa"/>
          </w:tcPr>
          <w:p w14:paraId="1BDB44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lang w:val="ru-RU"/>
              </w:rPr>
              <w:t>51 867,03</w:t>
            </w:r>
          </w:p>
        </w:tc>
        <w:tc>
          <w:tcPr>
            <w:tcW w:w="2393" w:type="dxa"/>
          </w:tcPr>
          <w:p w14:paraId="182A41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lang w:val="ru-RU"/>
              </w:rPr>
              <w:t>100,0</w:t>
            </w:r>
          </w:p>
        </w:tc>
      </w:tr>
      <w:tr w14:paraId="04B990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" w:hRule="atLeast"/>
        </w:trPr>
        <w:tc>
          <w:tcPr>
            <w:tcW w:w="2392" w:type="dxa"/>
          </w:tcPr>
          <w:p w14:paraId="7CABC1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2393" w:type="dxa"/>
          </w:tcPr>
          <w:p w14:paraId="69ED273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lang w:val="ru-RU"/>
              </w:rPr>
              <w:t>113 507,89</w:t>
            </w:r>
          </w:p>
        </w:tc>
        <w:tc>
          <w:tcPr>
            <w:tcW w:w="2393" w:type="dxa"/>
          </w:tcPr>
          <w:p w14:paraId="3512C72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lang w:val="ru-RU"/>
              </w:rPr>
              <w:t>112 814,51</w:t>
            </w:r>
          </w:p>
        </w:tc>
        <w:tc>
          <w:tcPr>
            <w:tcW w:w="2393" w:type="dxa"/>
          </w:tcPr>
          <w:p w14:paraId="0635770A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lang w:val="ru-RU"/>
              </w:rPr>
              <w:t>99,4</w:t>
            </w:r>
          </w:p>
        </w:tc>
      </w:tr>
    </w:tbl>
    <w:p w14:paraId="6FD15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Расходы дорожного фонда исполнены в сумме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106 545,85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тыс. рублей или на 9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3,9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% от уточненного плана.</w:t>
      </w:r>
    </w:p>
    <w:p w14:paraId="36B06C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Исполнение дорожного фонда осуществлялось в рамках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муниципальной программы «Развитие дорожного хозяйства Богородского муниципального округа Нижегородской области». </w:t>
      </w:r>
    </w:p>
    <w:p w14:paraId="10BB3648">
      <w:pPr>
        <w:autoSpaceDE w:val="0"/>
        <w:autoSpaceDN w:val="0"/>
        <w:adjustRightInd w:val="0"/>
        <w:spacing w:after="0" w:line="240" w:lineRule="auto"/>
        <w:ind w:firstLine="658" w:firstLineChars="235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На конец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года сформировались неиспользованные остатки в сумме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6 268,66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тыс. рублей.</w:t>
      </w:r>
    </w:p>
    <w:p w14:paraId="446A2023">
      <w:pPr>
        <w:autoSpaceDE w:val="0"/>
        <w:autoSpaceDN w:val="0"/>
        <w:adjustRightInd w:val="0"/>
        <w:spacing w:after="0" w:line="240" w:lineRule="auto"/>
        <w:ind w:firstLine="658" w:firstLineChars="235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Соблюдение требований статьи 179.4 Бюджетного кодекса РФ при формировании и использовании  бюджетных ассигнований муниципального дорожного фонда обеспечено.</w:t>
      </w:r>
    </w:p>
    <w:p w14:paraId="5FBAC8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,Bold" w:cs="Times New Roman"/>
          <w:b/>
          <w:bCs/>
          <w:iCs/>
          <w:color w:val="000000"/>
          <w:sz w:val="28"/>
          <w:szCs w:val="28"/>
        </w:rPr>
      </w:pPr>
    </w:p>
    <w:p w14:paraId="2A0A4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,Bold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/>
          <w:bCs/>
          <w:iCs/>
          <w:color w:val="000000"/>
          <w:sz w:val="28"/>
          <w:szCs w:val="28"/>
        </w:rPr>
        <w:t>6.5. Адресная инвестиционная программа</w:t>
      </w:r>
    </w:p>
    <w:p w14:paraId="172DCC84">
      <w:pPr>
        <w:spacing w:after="0" w:line="240" w:lineRule="auto"/>
        <w:jc w:val="both"/>
        <w:rPr>
          <w:rFonts w:ascii="Times New Roman" w:hAnsi="Times New Roman" w:eastAsia="Times New Roman,Bold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Все расходы капитального характера, связанные со строительством, реконструкцией, проектно-изыскательскими работами, осуществляются согласно Адресной инвестиционной программе Нижегородской области (далее – АИП), перечень объектов в которой сформирован в разрезе муниципальных программ и утвержден п</w:t>
      </w:r>
      <w:r>
        <w:rPr>
          <w:rFonts w:ascii="Times New Roman" w:hAnsi="Times New Roman" w:eastAsia="Times New Roman,Bold"/>
          <w:bCs/>
          <w:iCs/>
          <w:color w:val="000000"/>
          <w:sz w:val="28"/>
          <w:szCs w:val="28"/>
        </w:rPr>
        <w:t>остановлени</w:t>
      </w:r>
      <w:r>
        <w:rPr>
          <w:rFonts w:ascii="Times New Roman" w:hAnsi="Times New Roman" w:eastAsia="Times New Roman,Bold"/>
          <w:bCs/>
          <w:iCs/>
          <w:color w:val="000000"/>
          <w:sz w:val="28"/>
          <w:szCs w:val="28"/>
          <w:lang w:val="ru-RU"/>
        </w:rPr>
        <w:t>ем</w:t>
      </w:r>
      <w:r>
        <w:rPr>
          <w:rFonts w:ascii="Times New Roman" w:hAnsi="Times New Roman" w:eastAsia="Times New Roman,Bold"/>
          <w:bCs/>
          <w:iCs/>
          <w:color w:val="000000"/>
          <w:sz w:val="28"/>
          <w:szCs w:val="28"/>
        </w:rPr>
        <w:t xml:space="preserve"> администрации Богородского муниципального округа Нижегородской области от </w:t>
      </w:r>
      <w:r>
        <w:rPr>
          <w:rFonts w:hint="default" w:ascii="Times New Roman" w:hAnsi="Times New Roman" w:eastAsia="Times New Roman"/>
          <w:sz w:val="28"/>
          <w:szCs w:val="24"/>
          <w:lang w:val="ru-RU"/>
        </w:rPr>
        <w:t>17.01.2025</w:t>
      </w:r>
      <w:r>
        <w:rPr>
          <w:rFonts w:ascii="Times New Roman" w:hAnsi="Times New Roman" w:eastAsia="Times New Roman"/>
          <w:sz w:val="28"/>
          <w:szCs w:val="24"/>
        </w:rPr>
        <w:t xml:space="preserve"> № </w:t>
      </w:r>
      <w:r>
        <w:rPr>
          <w:rFonts w:hint="default" w:ascii="Times New Roman" w:hAnsi="Times New Roman" w:eastAsia="Times New Roman"/>
          <w:sz w:val="28"/>
          <w:szCs w:val="24"/>
          <w:lang w:val="ru-RU"/>
        </w:rPr>
        <w:t>99</w:t>
      </w:r>
      <w:r>
        <w:rPr>
          <w:rFonts w:ascii="Times New Roman" w:hAnsi="Times New Roman" w:eastAsia="Times New Roman"/>
          <w:sz w:val="28"/>
          <w:szCs w:val="24"/>
        </w:rPr>
        <w:t xml:space="preserve"> «Об утверждении Адресной инвестиционной программы Богородского муниципального округа Нижегородской области»</w:t>
      </w:r>
      <w:r>
        <w:rPr>
          <w:rFonts w:ascii="Times New Roman" w:hAnsi="Times New Roman" w:eastAsia="Times New Roman,Bold"/>
          <w:bCs/>
          <w:iCs/>
          <w:color w:val="000000"/>
          <w:sz w:val="28"/>
          <w:szCs w:val="28"/>
        </w:rPr>
        <w:t>.</w:t>
      </w:r>
    </w:p>
    <w:p w14:paraId="7C3D44CF">
      <w:pPr>
        <w:autoSpaceDE w:val="0"/>
        <w:autoSpaceDN w:val="0"/>
        <w:adjustRightInd w:val="0"/>
        <w:spacing w:after="0" w:line="240" w:lineRule="auto"/>
        <w:ind w:firstLine="658" w:firstLineChars="235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Расходы на реализацию АИП в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году исполнены в сумме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37 324,6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тыс.рублей или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67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% от уточненного плана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(55 743,4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тыс.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рублей).</w:t>
      </w:r>
    </w:p>
    <w:p w14:paraId="123AAE14">
      <w:pPr>
        <w:autoSpaceDE w:val="0"/>
        <w:autoSpaceDN w:val="0"/>
        <w:adjustRightInd w:val="0"/>
        <w:spacing w:after="0" w:line="240" w:lineRule="auto"/>
        <w:ind w:firstLine="658" w:firstLineChars="235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Наибольший удельный вес составили расходы на:</w:t>
      </w:r>
    </w:p>
    <w:p w14:paraId="2ACADB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-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проект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ирование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 и реконструкцию автомобильной дороги «Подъезд к причалу от д.Подъяблонное в Богородском округе Нижегородской области»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в сумме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24 160,30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тыс.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рублей;</w:t>
      </w:r>
    </w:p>
    <w:p w14:paraId="59981008">
      <w:pPr>
        <w:autoSpaceDE w:val="0"/>
        <w:autoSpaceDN w:val="0"/>
        <w:adjustRightInd w:val="0"/>
        <w:spacing w:after="0" w:line="240" w:lineRule="auto"/>
        <w:ind w:left="0" w:leftChars="0" w:firstLine="658" w:firstLineChars="235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-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 напорный канализационный коллектор от с.Каменки Богородского муниципального округа до пос.Кудьма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в сумме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2 611,10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тыс.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рублей.</w:t>
      </w:r>
    </w:p>
    <w:p w14:paraId="5ACD8135">
      <w:pPr>
        <w:autoSpaceDE w:val="0"/>
        <w:autoSpaceDN w:val="0"/>
        <w:adjustRightInd w:val="0"/>
        <w:spacing w:after="0" w:line="240" w:lineRule="auto"/>
        <w:ind w:left="0" w:leftChars="0" w:firstLine="611" w:firstLineChars="235"/>
        <w:jc w:val="both"/>
        <w:rPr>
          <w:rFonts w:ascii="Times New Roman" w:hAnsi="Times New Roman" w:eastAsia="Times New Roman,Bold" w:cs="Times New Roman"/>
          <w:bCs/>
          <w:iCs/>
          <w:color w:val="000000"/>
          <w:sz w:val="26"/>
          <w:szCs w:val="26"/>
        </w:rPr>
      </w:pPr>
    </w:p>
    <w:p w14:paraId="6A6479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,Bold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/>
          <w:bCs/>
          <w:iCs/>
          <w:color w:val="000000"/>
          <w:sz w:val="28"/>
          <w:szCs w:val="28"/>
        </w:rPr>
        <w:t>7. Бюджетные и автономные учреждения</w:t>
      </w:r>
    </w:p>
    <w:p w14:paraId="5E4A1CAD">
      <w:pPr>
        <w:autoSpaceDE w:val="0"/>
        <w:autoSpaceDN w:val="0"/>
        <w:adjustRightInd w:val="0"/>
        <w:spacing w:after="0" w:line="240" w:lineRule="auto"/>
        <w:ind w:firstLine="439" w:firstLineChars="157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По состоянию на 01.01.202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на территории Богородского муниципального округа Нижегородской области функционировало 80 учреждений, учредителями которых являются органы местного самоуправления Богородского муниципального округа Нижегородской области, в том числе 48 муниципальных бюджетных учреждений и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10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муниципальных автономных учреждения. За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год общее количество бюджетных учреждений и автономных учреждений не изменилось.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Количество бюджетных и автономных учреждений по сферам деятельности по состоянию на 01.01.2025:</w:t>
      </w:r>
    </w:p>
    <w:p w14:paraId="357A38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- «Образование» - 4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3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бюджетных и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8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автономных учреждения;</w:t>
      </w:r>
    </w:p>
    <w:p w14:paraId="20156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- «Культура» - 4 бюджетных учреждения;</w:t>
      </w:r>
    </w:p>
    <w:p w14:paraId="04117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- «Физическая культура и спорт» - 1 бюджетное и 1 автономное учреждение;</w:t>
      </w:r>
    </w:p>
    <w:p w14:paraId="5C39E6BC">
      <w:pPr>
        <w:autoSpaceDE w:val="0"/>
        <w:autoSpaceDN w:val="0"/>
        <w:adjustRightInd w:val="0"/>
        <w:spacing w:after="0" w:line="240" w:lineRule="auto"/>
        <w:ind w:firstLine="658" w:firstLineChars="235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- «Средства массовой информации» - 1 автономное учреждение.</w:t>
      </w:r>
    </w:p>
    <w:p w14:paraId="7257C398">
      <w:pPr>
        <w:autoSpaceDE w:val="0"/>
        <w:autoSpaceDN w:val="0"/>
        <w:adjustRightInd w:val="0"/>
        <w:spacing w:after="0" w:line="240" w:lineRule="auto"/>
        <w:ind w:firstLine="658" w:firstLineChars="235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>Муниципальные бюджетные и автономные учреждения осуществляли свою деятельность в соответствии с утвержденными учредителями планами финансово-хозяйственной деятельности. Информация об исполнении учреждениями плана финансово-хозяйственной деятельности за счет средств бюджета приведена в таблице.</w:t>
      </w:r>
    </w:p>
    <w:p w14:paraId="1DE7320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  <w:highlight w:val="none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  <w:highlight w:val="none"/>
        </w:rPr>
        <w:t>Таблица № 29</w:t>
      </w:r>
    </w:p>
    <w:tbl>
      <w:tblPr>
        <w:tblStyle w:val="10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267"/>
        <w:gridCol w:w="1300"/>
        <w:gridCol w:w="1017"/>
        <w:gridCol w:w="1516"/>
        <w:gridCol w:w="1278"/>
        <w:gridCol w:w="822"/>
      </w:tblGrid>
      <w:tr w14:paraId="104CF1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Merge w:val="restart"/>
          </w:tcPr>
          <w:p w14:paraId="6BD80C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</w:rPr>
              <w:t>Наименование</w:t>
            </w:r>
          </w:p>
          <w:p w14:paraId="3D596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</w:rPr>
            </w:pPr>
          </w:p>
        </w:tc>
        <w:tc>
          <w:tcPr>
            <w:tcW w:w="3584" w:type="dxa"/>
            <w:gridSpan w:val="3"/>
          </w:tcPr>
          <w:p w14:paraId="713B0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</w:rPr>
              <w:t>ДОХОДЫ (тыс.рублей)</w:t>
            </w:r>
          </w:p>
          <w:p w14:paraId="3E6E2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</w:rPr>
            </w:pPr>
          </w:p>
        </w:tc>
        <w:tc>
          <w:tcPr>
            <w:tcW w:w="3616" w:type="dxa"/>
            <w:gridSpan w:val="3"/>
          </w:tcPr>
          <w:p w14:paraId="6CB8C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</w:rPr>
              <w:t>РАСХОДЫ (тыс.рублей)</w:t>
            </w:r>
          </w:p>
          <w:p w14:paraId="06854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  <w:lang w:val="en-US"/>
              </w:rPr>
            </w:pPr>
          </w:p>
        </w:tc>
      </w:tr>
      <w:tr w14:paraId="775B39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Merge w:val="continue"/>
          </w:tcPr>
          <w:p w14:paraId="3C5E30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</w:rPr>
            </w:pPr>
          </w:p>
        </w:tc>
        <w:tc>
          <w:tcPr>
            <w:tcW w:w="1267" w:type="dxa"/>
          </w:tcPr>
          <w:p w14:paraId="4523C1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</w:rPr>
              <w:t>план</w:t>
            </w:r>
          </w:p>
          <w:p w14:paraId="096F86F2">
            <w:pPr>
              <w:tabs>
                <w:tab w:val="left" w:pos="7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</w:rPr>
            </w:pPr>
          </w:p>
        </w:tc>
        <w:tc>
          <w:tcPr>
            <w:tcW w:w="1300" w:type="dxa"/>
          </w:tcPr>
          <w:p w14:paraId="6A77EF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</w:rPr>
              <w:t>исполнено</w:t>
            </w:r>
          </w:p>
          <w:p w14:paraId="38DA00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</w:rPr>
            </w:pPr>
          </w:p>
        </w:tc>
        <w:tc>
          <w:tcPr>
            <w:tcW w:w="1017" w:type="dxa"/>
          </w:tcPr>
          <w:p w14:paraId="5FFC34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</w:rPr>
              <w:t>% от плана</w:t>
            </w:r>
          </w:p>
          <w:p w14:paraId="365978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</w:rPr>
            </w:pPr>
          </w:p>
        </w:tc>
        <w:tc>
          <w:tcPr>
            <w:tcW w:w="1516" w:type="dxa"/>
          </w:tcPr>
          <w:p w14:paraId="0AFC6F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</w:rPr>
              <w:t>план</w:t>
            </w:r>
          </w:p>
          <w:p w14:paraId="17492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6"/>
                <w:szCs w:val="16"/>
                <w:highlight w:val="none"/>
              </w:rPr>
              <w:t>(с учетом остатков на начало года)</w:t>
            </w:r>
          </w:p>
        </w:tc>
        <w:tc>
          <w:tcPr>
            <w:tcW w:w="1278" w:type="dxa"/>
          </w:tcPr>
          <w:p w14:paraId="57EA79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</w:rPr>
              <w:t>исполнено</w:t>
            </w:r>
          </w:p>
          <w:p w14:paraId="66B608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</w:rPr>
            </w:pPr>
          </w:p>
        </w:tc>
        <w:tc>
          <w:tcPr>
            <w:tcW w:w="822" w:type="dxa"/>
          </w:tcPr>
          <w:p w14:paraId="610A7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</w:rPr>
              <w:t>% от плана</w:t>
            </w:r>
          </w:p>
          <w:p w14:paraId="6D5E61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</w:rPr>
            </w:pPr>
          </w:p>
        </w:tc>
      </w:tr>
      <w:tr w14:paraId="1F6193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30F1ED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</w:rPr>
              <w:t>Субсидии на выполнение муниципального задания</w:t>
            </w:r>
          </w:p>
        </w:tc>
        <w:tc>
          <w:tcPr>
            <w:tcW w:w="1267" w:type="dxa"/>
          </w:tcPr>
          <w:p w14:paraId="0CA9FB1A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  <w:lang w:val="ru-RU"/>
              </w:rPr>
              <w:t>1 845 851,30</w:t>
            </w:r>
          </w:p>
        </w:tc>
        <w:tc>
          <w:tcPr>
            <w:tcW w:w="1300" w:type="dxa"/>
          </w:tcPr>
          <w:p w14:paraId="4C13119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  <w:lang w:val="ru-RU"/>
              </w:rPr>
              <w:t>1 845 851,3</w:t>
            </w:r>
          </w:p>
        </w:tc>
        <w:tc>
          <w:tcPr>
            <w:tcW w:w="1017" w:type="dxa"/>
          </w:tcPr>
          <w:p w14:paraId="638CC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</w:rPr>
              <w:t>100,0</w:t>
            </w:r>
          </w:p>
        </w:tc>
        <w:tc>
          <w:tcPr>
            <w:tcW w:w="1516" w:type="dxa"/>
          </w:tcPr>
          <w:p w14:paraId="676C546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  <w:lang w:val="ru-RU"/>
              </w:rPr>
              <w:t>2 034 704,76</w:t>
            </w:r>
          </w:p>
        </w:tc>
        <w:tc>
          <w:tcPr>
            <w:tcW w:w="1278" w:type="dxa"/>
          </w:tcPr>
          <w:p w14:paraId="251DB2B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  <w:lang w:val="ru-RU"/>
              </w:rPr>
              <w:t>1 879 247,95</w:t>
            </w:r>
          </w:p>
        </w:tc>
        <w:tc>
          <w:tcPr>
            <w:tcW w:w="822" w:type="dxa"/>
          </w:tcPr>
          <w:p w14:paraId="325BF03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  <w:lang w:val="ru-RU"/>
              </w:rPr>
              <w:t>92,3</w:t>
            </w:r>
          </w:p>
        </w:tc>
      </w:tr>
      <w:tr w14:paraId="3940EF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228BF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</w:rPr>
              <w:t>Субсидии на иные цели</w:t>
            </w:r>
          </w:p>
          <w:p w14:paraId="14A711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</w:rPr>
            </w:pPr>
          </w:p>
        </w:tc>
        <w:tc>
          <w:tcPr>
            <w:tcW w:w="1267" w:type="dxa"/>
          </w:tcPr>
          <w:p w14:paraId="4C5E965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  <w:lang w:val="ru-RU"/>
              </w:rPr>
              <w:t>233 469,81</w:t>
            </w:r>
          </w:p>
        </w:tc>
        <w:tc>
          <w:tcPr>
            <w:tcW w:w="1300" w:type="dxa"/>
          </w:tcPr>
          <w:p w14:paraId="5F95F4B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  <w:lang w:val="ru-RU"/>
              </w:rPr>
              <w:t>233 469,80</w:t>
            </w:r>
          </w:p>
        </w:tc>
        <w:tc>
          <w:tcPr>
            <w:tcW w:w="1017" w:type="dxa"/>
          </w:tcPr>
          <w:p w14:paraId="629119D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  <w:lang w:val="ru-RU"/>
              </w:rPr>
              <w:t>99,99</w:t>
            </w:r>
          </w:p>
        </w:tc>
        <w:tc>
          <w:tcPr>
            <w:tcW w:w="1516" w:type="dxa"/>
          </w:tcPr>
          <w:p w14:paraId="38253F9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  <w:lang w:val="ru-RU"/>
              </w:rPr>
              <w:t>234 307,35</w:t>
            </w:r>
          </w:p>
        </w:tc>
        <w:tc>
          <w:tcPr>
            <w:tcW w:w="1278" w:type="dxa"/>
          </w:tcPr>
          <w:p w14:paraId="64986C5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  <w:lang w:val="ru-RU"/>
              </w:rPr>
              <w:t>217 785,96</w:t>
            </w:r>
          </w:p>
        </w:tc>
        <w:tc>
          <w:tcPr>
            <w:tcW w:w="822" w:type="dxa"/>
          </w:tcPr>
          <w:p w14:paraId="3E8FD18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19"/>
                <w:szCs w:val="19"/>
                <w:highlight w:val="none"/>
                <w:lang w:val="ru-RU"/>
              </w:rPr>
              <w:t>92,9</w:t>
            </w:r>
          </w:p>
        </w:tc>
      </w:tr>
    </w:tbl>
    <w:p w14:paraId="441A5C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>Согласно сводному отчету за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 год об исполнении учреждениями плана их финансово-хозяйственной деятельности (ф.0503737) структура кассовых расходов (в разрезе видов обеспечения учреждений) сформировалась следующим образом:</w:t>
      </w:r>
    </w:p>
    <w:p w14:paraId="2F2554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  <w:highlight w:val="none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0"/>
          <w:szCs w:val="20"/>
          <w:highlight w:val="none"/>
        </w:rPr>
        <w:t>Таблица № 30</w:t>
      </w:r>
    </w:p>
    <w:tbl>
      <w:tblPr>
        <w:tblStyle w:val="10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4436"/>
        <w:gridCol w:w="2835"/>
        <w:gridCol w:w="1666"/>
      </w:tblGrid>
      <w:tr w14:paraId="5BAD48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Merge w:val="restart"/>
          </w:tcPr>
          <w:p w14:paraId="16707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№</w:t>
            </w:r>
          </w:p>
          <w:p w14:paraId="4EC66E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п/п</w:t>
            </w:r>
          </w:p>
          <w:p w14:paraId="38DA2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436" w:type="dxa"/>
            <w:vMerge w:val="restart"/>
          </w:tcPr>
          <w:p w14:paraId="2B58B7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Направление расходов</w:t>
            </w:r>
          </w:p>
          <w:p w14:paraId="73D07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501" w:type="dxa"/>
            <w:gridSpan w:val="2"/>
          </w:tcPr>
          <w:p w14:paraId="3F02E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По источникам</w:t>
            </w:r>
          </w:p>
        </w:tc>
      </w:tr>
      <w:tr w14:paraId="5CFF3D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  <w:vMerge w:val="continue"/>
          </w:tcPr>
          <w:p w14:paraId="089D58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436" w:type="dxa"/>
            <w:vMerge w:val="continue"/>
          </w:tcPr>
          <w:p w14:paraId="66255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835" w:type="dxa"/>
          </w:tcPr>
          <w:p w14:paraId="11A4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Субсидии на муниципальное задание, %</w:t>
            </w:r>
          </w:p>
        </w:tc>
        <w:tc>
          <w:tcPr>
            <w:tcW w:w="1666" w:type="dxa"/>
          </w:tcPr>
          <w:p w14:paraId="270D3C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Субсидии на иные цели, %</w:t>
            </w:r>
          </w:p>
        </w:tc>
      </w:tr>
      <w:tr w14:paraId="6301AC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" w:type="dxa"/>
          </w:tcPr>
          <w:p w14:paraId="7F20EE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4436" w:type="dxa"/>
          </w:tcPr>
          <w:p w14:paraId="12D9CA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Оплата труда с начислениями</w:t>
            </w:r>
          </w:p>
          <w:p w14:paraId="5483F9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835" w:type="dxa"/>
          </w:tcPr>
          <w:p w14:paraId="283BD60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79,6</w:t>
            </w:r>
          </w:p>
        </w:tc>
        <w:tc>
          <w:tcPr>
            <w:tcW w:w="1666" w:type="dxa"/>
          </w:tcPr>
          <w:p w14:paraId="76B4EB3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29,8</w:t>
            </w:r>
          </w:p>
        </w:tc>
      </w:tr>
      <w:tr w14:paraId="072159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634" w:type="dxa"/>
          </w:tcPr>
          <w:p w14:paraId="796441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2</w:t>
            </w:r>
          </w:p>
          <w:p w14:paraId="7B3DA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436" w:type="dxa"/>
          </w:tcPr>
          <w:p w14:paraId="3FD455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35" w:type="dxa"/>
          </w:tcPr>
          <w:p w14:paraId="5110B98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20,2</w:t>
            </w:r>
          </w:p>
        </w:tc>
        <w:tc>
          <w:tcPr>
            <w:tcW w:w="1666" w:type="dxa"/>
          </w:tcPr>
          <w:p w14:paraId="7F3F519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70,2</w:t>
            </w:r>
          </w:p>
        </w:tc>
      </w:tr>
      <w:tr w14:paraId="21FF4D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634" w:type="dxa"/>
          </w:tcPr>
          <w:p w14:paraId="213EDC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4436" w:type="dxa"/>
          </w:tcPr>
          <w:p w14:paraId="27518B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Иные бюджетные ассигнования</w:t>
            </w:r>
          </w:p>
          <w:p w14:paraId="4FC2FC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835" w:type="dxa"/>
          </w:tcPr>
          <w:p w14:paraId="59D740A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0,</w:t>
            </w:r>
            <w:r>
              <w:rPr>
                <w:rFonts w:hint="default"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  <w:lang w:val="ru-RU"/>
              </w:rPr>
              <w:t>2</w:t>
            </w:r>
          </w:p>
        </w:tc>
        <w:tc>
          <w:tcPr>
            <w:tcW w:w="1666" w:type="dxa"/>
          </w:tcPr>
          <w:p w14:paraId="3AD414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,Bold" w:cs="Times New Roman"/>
                <w:bCs/>
                <w:iCs/>
                <w:color w:val="000000"/>
                <w:sz w:val="20"/>
                <w:szCs w:val="20"/>
                <w:highlight w:val="none"/>
              </w:rPr>
              <w:t>-</w:t>
            </w:r>
          </w:p>
        </w:tc>
      </w:tr>
    </w:tbl>
    <w:p w14:paraId="540336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Основную долю затрат за счет субсидий на финансовое обеспечение муниципального задания составляет оплата труда –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79,6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 %, за счет субсидий на иные цели – закупка товаров, работ и услуг 7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0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>,2 %.</w:t>
      </w:r>
    </w:p>
    <w:p w14:paraId="240E12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,Bold" w:cs="Times New Roman"/>
          <w:bCs/>
          <w:iCs/>
          <w:color w:val="000000"/>
          <w:sz w:val="27"/>
          <w:szCs w:val="27"/>
        </w:rPr>
      </w:pPr>
    </w:p>
    <w:p w14:paraId="48C31D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,Bold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/>
          <w:bCs/>
          <w:iCs/>
          <w:color w:val="000000"/>
          <w:sz w:val="28"/>
          <w:szCs w:val="28"/>
        </w:rPr>
        <w:t>8. Источники финансирования дефицита бюджета</w:t>
      </w:r>
    </w:p>
    <w:p w14:paraId="3BB1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,Bold" w:cs="Times New Roman"/>
          <w:b/>
          <w:bCs/>
          <w:iCs/>
          <w:color w:val="000000"/>
          <w:sz w:val="28"/>
          <w:szCs w:val="28"/>
        </w:rPr>
      </w:pPr>
    </w:p>
    <w:p w14:paraId="0B78FC51">
      <w:pPr>
        <w:autoSpaceDE w:val="0"/>
        <w:autoSpaceDN w:val="0"/>
        <w:adjustRightInd w:val="0"/>
        <w:spacing w:after="0" w:line="240" w:lineRule="auto"/>
        <w:ind w:firstLine="658" w:firstLineChars="235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Местный бюджет за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исполнен с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де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фицитом в сумме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2 526,98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 тыс. рублей при плановом дефиците в сумме 1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37 817,00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тыс. рублей. </w:t>
      </w:r>
    </w:p>
    <w:p w14:paraId="557BA9B6">
      <w:pPr>
        <w:autoSpaceDE w:val="0"/>
        <w:autoSpaceDN w:val="0"/>
        <w:adjustRightInd w:val="0"/>
        <w:spacing w:after="0" w:line="240" w:lineRule="auto"/>
        <w:ind w:firstLine="658" w:firstLineChars="2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Источники внутреннего финансирования дефицита бюджета в отчетном году сформированы за счет изменения остатков средств бюджета в сумме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2 526,98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14:paraId="0D099965">
      <w:pPr>
        <w:autoSpaceDE w:val="0"/>
        <w:autoSpaceDN w:val="0"/>
        <w:adjustRightInd w:val="0"/>
        <w:spacing w:after="0" w:line="240" w:lineRule="auto"/>
        <w:ind w:firstLine="658" w:firstLineChars="235"/>
        <w:jc w:val="both"/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Увеличение остатков денежных средств на едином счете бюджета округа за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состав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ило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4 406 483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,25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тыс. рублей, уменьшение –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4 409 010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,23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тыс. рублей.</w:t>
      </w:r>
    </w:p>
    <w:p w14:paraId="799AF910">
      <w:pPr>
        <w:autoSpaceDE w:val="0"/>
        <w:autoSpaceDN w:val="0"/>
        <w:adjustRightInd w:val="0"/>
        <w:spacing w:after="0" w:line="240" w:lineRule="auto"/>
        <w:ind w:firstLine="658" w:firstLineChars="235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Остатки бюджетных средств на едином счете бюджета округа на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>01.01.202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6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 учтены в сумме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331 931,3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 тыс. рублей.</w:t>
      </w:r>
    </w:p>
    <w:p w14:paraId="07F14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/>
          <w:bCs/>
          <w:iCs/>
          <w:color w:val="000000"/>
          <w:sz w:val="28"/>
          <w:szCs w:val="28"/>
        </w:rPr>
      </w:pPr>
    </w:p>
    <w:p w14:paraId="3F75BF91">
      <w:pPr>
        <w:pStyle w:val="12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,Bold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/>
          <w:bCs/>
          <w:iCs/>
          <w:color w:val="000000"/>
          <w:sz w:val="28"/>
          <w:szCs w:val="28"/>
        </w:rPr>
        <w:t>Муниципальный долг</w:t>
      </w:r>
    </w:p>
    <w:p w14:paraId="2DA92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Верхний предел муниципального внутреннего долга Богородского муниципального округа Нижегородской области установлен на 1 января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в размере равном 0,00 тыс. рублей, в том числе верхний предел долга по муниципальным гарантиям в размере 0,00 тыс. рублей.</w:t>
      </w:r>
    </w:p>
    <w:p w14:paraId="584837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Заемные средства (кредиты коммерческих банков, бюджетные кредиты) в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не привлекались.</w:t>
      </w:r>
    </w:p>
    <w:p w14:paraId="7F3054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0E0C36">
      <w:pPr>
        <w:pStyle w:val="12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,Bold" w:cs="Times New Roman"/>
          <w:b/>
          <w:bCs/>
          <w:i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,Bold" w:cs="Times New Roman"/>
          <w:b/>
          <w:bCs/>
          <w:iCs/>
          <w:color w:val="000000"/>
          <w:sz w:val="28"/>
          <w:szCs w:val="28"/>
          <w:highlight w:val="none"/>
        </w:rPr>
        <w:t xml:space="preserve"> Дебиторская и кредиторская задолженность</w:t>
      </w:r>
    </w:p>
    <w:p w14:paraId="5875B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По данным годовой бюджетной отчетности (ф.0503169) общий объем </w:t>
      </w:r>
      <w:r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  <w:highlight w:val="none"/>
        </w:rPr>
        <w:t>дебиторской задолженности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 по состоянию на 01.01.202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6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 составил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6 529 272,87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 тыс. рублей, в том числе просроченной –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60 987,45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 тыс. рублей. По сравнению с задолженностью на 01.01.202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 (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6 316 116,57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 тыс. рублей) дебиторская задолженность увеличилась на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213 156,3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 тыс. рублей. Наличие задолженности обусловлено начислением доходов будущих периодов и авансированием согласно условиям заключенных контрактов.</w:t>
      </w:r>
    </w:p>
    <w:p w14:paraId="766DD5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По данным годовой бюджетной отчетности (ф.0503169) объем </w:t>
      </w:r>
      <w:r>
        <w:rPr>
          <w:rFonts w:ascii="Times New Roman" w:hAnsi="Times New Roman" w:eastAsia="Times New Roman,Bold" w:cs="Times New Roman"/>
          <w:bCs/>
          <w:i/>
          <w:iCs/>
          <w:color w:val="000000"/>
          <w:sz w:val="28"/>
          <w:szCs w:val="28"/>
          <w:highlight w:val="none"/>
        </w:rPr>
        <w:t>кредиторской задолженности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 бюджета округа (без учета задолженности по доходам) по состоянию на 01.01.2025 сложился в сумме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61 580,67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 тыс. рублей (на 01.01.202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 –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1 269,40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 тыс. рублей). У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величение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 составило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60 311,27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 тыс. рублей. Кредиторская задолженность сложилась по причине оплаты за поставленные товары, выполненные работы, оказанные услуги в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2026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 год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у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 согласно условиям договоров (контрактов)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и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 xml:space="preserve"> за счет з</w:t>
      </w:r>
      <w:r>
        <w:rPr>
          <w:rFonts w:hint="default" w:ascii="Times New Roman" w:hAnsi="Times New Roman" w:eastAsia="DejaVu Serif" w:cs="Times New Roman"/>
          <w:b w:val="0"/>
          <w:i w:val="0"/>
          <w:color w:val="000000"/>
          <w:sz w:val="28"/>
          <w:szCs w:val="28"/>
        </w:rPr>
        <w:t>адолженност</w:t>
      </w:r>
      <w:r>
        <w:rPr>
          <w:rFonts w:hint="default" w:ascii="Times New Roman" w:hAnsi="Times New Roman" w:eastAsia="DejaVu Serif" w:cs="Times New Roman"/>
          <w:b w:val="0"/>
          <w:i w:val="0"/>
          <w:color w:val="000000"/>
          <w:sz w:val="28"/>
          <w:szCs w:val="28"/>
          <w:lang w:val="ru-RU"/>
        </w:rPr>
        <w:t>и</w:t>
      </w:r>
      <w:r>
        <w:rPr>
          <w:rFonts w:hint="default" w:ascii="Times New Roman" w:hAnsi="Times New Roman" w:eastAsia="DejaVu Serif" w:cs="Times New Roman"/>
          <w:b w:val="0"/>
          <w:i w:val="0"/>
          <w:color w:val="000000"/>
          <w:sz w:val="28"/>
          <w:szCs w:val="28"/>
        </w:rPr>
        <w:t xml:space="preserve"> по </w:t>
      </w:r>
      <w:r>
        <w:rPr>
          <w:rFonts w:hint="default" w:ascii="Times New Roman" w:hAnsi="Times New Roman" w:eastAsia="DejaVu Serif" w:cs="Times New Roman"/>
          <w:b w:val="0"/>
          <w:i w:val="0"/>
          <w:color w:val="000000"/>
          <w:sz w:val="28"/>
          <w:szCs w:val="28"/>
        </w:rPr>
        <w:t>перечислен</w:t>
      </w:r>
      <w:r>
        <w:rPr>
          <w:rFonts w:hint="default" w:ascii="Times New Roman" w:hAnsi="Times New Roman" w:eastAsia="DejaVu Serif" w:cs="Times New Roman"/>
          <w:b w:val="0"/>
          <w:i w:val="0"/>
          <w:color w:val="000000"/>
          <w:sz w:val="28"/>
          <w:szCs w:val="28"/>
          <w:lang w:val="ru-RU"/>
        </w:rPr>
        <w:t xml:space="preserve">ным </w:t>
      </w:r>
      <w:r>
        <w:rPr>
          <w:rFonts w:hint="default" w:ascii="Times New Roman" w:hAnsi="Times New Roman" w:eastAsia="DejaVu Serif" w:cs="Times New Roman"/>
          <w:b w:val="0"/>
          <w:i w:val="0"/>
          <w:color w:val="000000"/>
          <w:sz w:val="28"/>
          <w:szCs w:val="28"/>
        </w:rPr>
        <w:t>страховым взносам за декабрь 2025</w:t>
      </w:r>
      <w:r>
        <w:rPr>
          <w:rFonts w:hint="default" w:ascii="Times New Roman" w:hAnsi="Times New Roman" w:eastAsia="DejaVu Serif" w:cs="Times New Roman"/>
          <w:b w:val="0"/>
          <w:i w:val="0"/>
          <w:color w:val="00000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DejaVu Serif" w:cs="Times New Roman"/>
          <w:b w:val="0"/>
          <w:i w:val="0"/>
          <w:color w:val="000000"/>
          <w:sz w:val="28"/>
          <w:szCs w:val="28"/>
        </w:rPr>
        <w:t>г</w:t>
      </w:r>
      <w:r>
        <w:rPr>
          <w:rFonts w:hint="default" w:ascii="Times New Roman" w:hAnsi="Times New Roman" w:eastAsia="DejaVu Serif" w:cs="Times New Roman"/>
          <w:b w:val="0"/>
          <w:i w:val="0"/>
          <w:color w:val="000000"/>
          <w:sz w:val="28"/>
          <w:szCs w:val="28"/>
          <w:lang w:val="ru-RU"/>
        </w:rPr>
        <w:t xml:space="preserve">ода, </w:t>
      </w:r>
      <w:r>
        <w:rPr>
          <w:rFonts w:hint="default" w:ascii="Times New Roman" w:hAnsi="Times New Roman" w:eastAsia="DejaVu Serif" w:cs="Times New Roman"/>
          <w:b w:val="0"/>
          <w:i w:val="0"/>
          <w:color w:val="000000"/>
          <w:sz w:val="28"/>
          <w:szCs w:val="28"/>
        </w:rPr>
        <w:t>числя</w:t>
      </w:r>
      <w:r>
        <w:rPr>
          <w:rFonts w:hint="default" w:ascii="Times New Roman" w:hAnsi="Times New Roman" w:eastAsia="DejaVu Serif" w:cs="Times New Roman"/>
          <w:b w:val="0"/>
          <w:i w:val="0"/>
          <w:color w:val="000000"/>
          <w:sz w:val="28"/>
          <w:szCs w:val="28"/>
          <w:lang w:val="ru-RU"/>
        </w:rPr>
        <w:t>щимися</w:t>
      </w:r>
      <w:r>
        <w:rPr>
          <w:rFonts w:hint="default" w:ascii="Times New Roman" w:hAnsi="Times New Roman" w:eastAsia="DejaVu Serif" w:cs="Times New Roman"/>
          <w:b w:val="0"/>
          <w:i w:val="0"/>
          <w:color w:val="000000"/>
          <w:sz w:val="28"/>
          <w:szCs w:val="28"/>
        </w:rPr>
        <w:t xml:space="preserve"> на едином налоговом счете в отложенных платежах </w:t>
      </w:r>
      <w:r>
        <w:rPr>
          <w:rFonts w:hint="default" w:ascii="Times New Roman" w:hAnsi="Times New Roman" w:eastAsia="Times New Roman"/>
          <w:sz w:val="28"/>
          <w:szCs w:val="24"/>
          <w:lang w:val="ru-RU"/>
        </w:rPr>
        <w:t>в соответствии  с положениями ст.11.3 Налогового кодекса РФ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>.</w:t>
      </w:r>
    </w:p>
    <w:p w14:paraId="7E9953DB">
      <w:pPr>
        <w:autoSpaceDE w:val="0"/>
        <w:autoSpaceDN w:val="0"/>
        <w:adjustRightInd w:val="0"/>
        <w:spacing w:after="0" w:line="240" w:lineRule="auto"/>
        <w:ind w:firstLine="658" w:firstLineChars="235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>Просроченная кредиторская задолженность на 01.01.2025 отсутствует.</w:t>
      </w:r>
    </w:p>
    <w:p w14:paraId="6C9997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</w:p>
    <w:p w14:paraId="13E464B1">
      <w:pPr>
        <w:pStyle w:val="12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,Bold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/>
          <w:bCs/>
          <w:iCs/>
          <w:color w:val="000000"/>
          <w:sz w:val="28"/>
          <w:szCs w:val="28"/>
        </w:rPr>
        <w:t xml:space="preserve"> Внешняя проверка бюджетной отчетности за 202</w:t>
      </w:r>
      <w:r>
        <w:rPr>
          <w:rFonts w:hint="default" w:ascii="Times New Roman" w:hAnsi="Times New Roman" w:eastAsia="Times New Roman,Bold" w:cs="Times New Roman"/>
          <w:b/>
          <w:bCs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eastAsia="Times New Roman,Bold" w:cs="Times New Roman"/>
          <w:b/>
          <w:bCs/>
          <w:iCs/>
          <w:color w:val="000000"/>
          <w:sz w:val="28"/>
          <w:szCs w:val="28"/>
        </w:rPr>
        <w:t xml:space="preserve"> год</w:t>
      </w:r>
    </w:p>
    <w:p w14:paraId="093B7B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7"/>
          <w:szCs w:val="27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>В соответствии с требованиями статьи 264.4 Бюджетного кодекса РФ, главы 33 Положения о бюджетном процессе проведена внешняя проверка бюджетной отчетности главных администраторов бюджетных средств (далее – ГАБС) за 202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 xml:space="preserve"> год.</w:t>
      </w:r>
    </w:p>
    <w:p w14:paraId="603F43A1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ab/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>В формате контрольного мероприятия проверен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а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 xml:space="preserve"> отчетность всех 12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 ГАБС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.</w:t>
      </w:r>
    </w:p>
    <w:p w14:paraId="5B8EB7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>При проведении внешней проверки годовой бюджетной отчетности ГАБС контрольно-счетной комиссией установлено следующее.</w:t>
      </w:r>
    </w:p>
    <w:p w14:paraId="46E48C8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Своевременность представления бюджетной отчетности, установленная приказом финансового управления администрации Богородского муниципального округа Нижегородской области от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25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>.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12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.2025 №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69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>, соблюдена всеми ГАБС.</w:t>
      </w:r>
      <w:r>
        <w:rPr>
          <w:rFonts w:ascii="Times New Roman" w:hAnsi="Times New Roman"/>
          <w:sz w:val="28"/>
          <w:szCs w:val="28"/>
          <w:highlight w:val="none"/>
        </w:rPr>
        <w:t xml:space="preserve">   </w:t>
      </w:r>
    </w:p>
    <w:p w14:paraId="3AEC99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>Бюджетная отчетность за 202</w:t>
      </w: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>5</w:t>
      </w:r>
      <w:r>
        <w:rPr>
          <w:rFonts w:ascii="Times New Roman" w:hAnsi="Times New Roman"/>
          <w:sz w:val="28"/>
          <w:szCs w:val="28"/>
          <w:highlight w:val="none"/>
        </w:rPr>
        <w:t xml:space="preserve"> год соответствует требованиям Приказа Минфина РФ от 28.12.2010 № 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 (далее – Инструкция № 191н). </w:t>
      </w:r>
      <w:r>
        <w:rPr>
          <w:rFonts w:ascii="Times New Roman" w:hAnsi="Times New Roman"/>
          <w:sz w:val="28"/>
          <w:szCs w:val="28"/>
          <w:highlight w:val="none"/>
          <w:lang w:val="ru-RU"/>
        </w:rPr>
        <w:t>С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огласно приказу </w:t>
      </w:r>
      <w:r>
        <w:rPr>
          <w:rFonts w:ascii="Times New Roman" w:hAnsi="Times New Roman" w:cs="Times New Roman"/>
          <w:sz w:val="28"/>
          <w:szCs w:val="28"/>
        </w:rPr>
        <w:t>финансово</w:t>
      </w:r>
      <w:r>
        <w:rPr>
          <w:rFonts w:ascii="Times New Roman" w:hAnsi="Times New Roman" w:cs="Times New Roman"/>
          <w:sz w:val="28"/>
          <w:szCs w:val="28"/>
          <w:lang w:val="ru-RU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управлени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Богородского муниципального округа  Нижегородской области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от 22.12.2025 № 66 </w:t>
      </w: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sz w:val="28"/>
          <w:szCs w:val="28"/>
        </w:rPr>
        <w:t>юджетная отчетность за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представлена в программном комплексе «Свод-СМАРТ» с использованием усиленной 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квалифицированной электронной подписи, что</w:t>
      </w:r>
      <w:r>
        <w:rPr>
          <w:rFonts w:ascii="Times New Roman" w:hAnsi="Times New Roman"/>
          <w:sz w:val="28"/>
          <w:szCs w:val="28"/>
          <w:highlight w:val="none"/>
        </w:rPr>
        <w:t xml:space="preserve"> соответств</w:t>
      </w:r>
      <w:r>
        <w:rPr>
          <w:rFonts w:ascii="Times New Roman" w:hAnsi="Times New Roman"/>
          <w:sz w:val="28"/>
          <w:szCs w:val="28"/>
          <w:highlight w:val="none"/>
          <w:lang w:val="ru-RU"/>
        </w:rPr>
        <w:t>ует</w:t>
      </w:r>
      <w:r>
        <w:rPr>
          <w:rFonts w:ascii="Times New Roman" w:hAnsi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/>
          <w:sz w:val="28"/>
          <w:szCs w:val="28"/>
          <w:highlight w:val="none"/>
          <w:lang w:val="ru-RU"/>
        </w:rPr>
        <w:t>положениям</w:t>
      </w: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highlight w:val="none"/>
        </w:rPr>
        <w:t>п</w:t>
      </w: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>.</w:t>
      </w:r>
      <w:r>
        <w:rPr>
          <w:rFonts w:ascii="Times New Roman" w:hAnsi="Times New Roman"/>
          <w:sz w:val="28"/>
          <w:szCs w:val="28"/>
          <w:highlight w:val="none"/>
        </w:rPr>
        <w:t xml:space="preserve"> 4</w:t>
      </w: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>, 6</w:t>
      </w:r>
      <w:r>
        <w:rPr>
          <w:rFonts w:ascii="Times New Roman" w:hAnsi="Times New Roman"/>
          <w:sz w:val="28"/>
          <w:szCs w:val="28"/>
          <w:highlight w:val="none"/>
        </w:rPr>
        <w:t xml:space="preserve"> Инструкции № 191н.</w:t>
      </w:r>
    </w:p>
    <w:p w14:paraId="4EA7BE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>Бюджетная отчетность ГАБС составлена нарастающим итогом с начала 202</w:t>
      </w: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>5</w:t>
      </w:r>
      <w:r>
        <w:rPr>
          <w:rFonts w:ascii="Times New Roman" w:hAnsi="Times New Roman"/>
          <w:sz w:val="28"/>
          <w:szCs w:val="28"/>
          <w:highlight w:val="none"/>
        </w:rPr>
        <w:t xml:space="preserve"> года в рублях с точностью до второго десятичного знака после запятой </w:t>
      </w:r>
      <w:r>
        <w:rPr>
          <w:rFonts w:ascii="Times New Roman" w:hAnsi="Times New Roman"/>
          <w:sz w:val="28"/>
          <w:szCs w:val="28"/>
          <w:highlight w:val="none"/>
          <w:lang w:val="ru-RU"/>
        </w:rPr>
        <w:t>в</w:t>
      </w:r>
      <w:r>
        <w:rPr>
          <w:rFonts w:ascii="Times New Roman" w:hAnsi="Times New Roman"/>
          <w:sz w:val="28"/>
          <w:szCs w:val="28"/>
          <w:highlight w:val="none"/>
        </w:rPr>
        <w:t xml:space="preserve"> соответств</w:t>
      </w:r>
      <w:r>
        <w:rPr>
          <w:rFonts w:ascii="Times New Roman" w:hAnsi="Times New Roman"/>
          <w:sz w:val="28"/>
          <w:szCs w:val="28"/>
          <w:highlight w:val="none"/>
          <w:lang w:val="ru-RU"/>
        </w:rPr>
        <w:t>ии</w:t>
      </w:r>
      <w:r>
        <w:rPr>
          <w:rFonts w:ascii="Times New Roman" w:hAnsi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/>
          <w:sz w:val="28"/>
          <w:szCs w:val="28"/>
          <w:highlight w:val="none"/>
          <w:lang w:val="ru-RU"/>
        </w:rPr>
        <w:t>с</w:t>
      </w:r>
      <w:r>
        <w:rPr>
          <w:rFonts w:ascii="Times New Roman" w:hAnsi="Times New Roman"/>
          <w:sz w:val="28"/>
          <w:szCs w:val="28"/>
          <w:highlight w:val="none"/>
        </w:rPr>
        <w:t xml:space="preserve"> п</w:t>
      </w: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>.</w:t>
      </w:r>
      <w:r>
        <w:rPr>
          <w:rFonts w:ascii="Times New Roman" w:hAnsi="Times New Roman"/>
          <w:sz w:val="28"/>
          <w:szCs w:val="28"/>
          <w:highlight w:val="none"/>
        </w:rPr>
        <w:t xml:space="preserve"> 9 Инструкции №</w:t>
      </w: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highlight w:val="none"/>
        </w:rPr>
        <w:t>191н.</w:t>
      </w:r>
    </w:p>
    <w:p w14:paraId="19ED6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Выборочно осуществлено сопоставление показателей отдельных форм годовой бюджетной отчетности. </w:t>
      </w:r>
      <w:r>
        <w:rPr>
          <w:rFonts w:ascii="Times New Roman" w:hAnsi="Times New Roman" w:cs="Times New Roman"/>
          <w:sz w:val="28"/>
          <w:szCs w:val="28"/>
          <w:highlight w:val="none"/>
        </w:rPr>
        <w:t>При проверке контрольных соотношений взаимосвязанных показателей отдельных форм бюджетной отчетности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, регистров бюджетного учета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расхождений не установлено.</w:t>
      </w:r>
    </w:p>
    <w:p w14:paraId="3086DC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ab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Своевременность, полнота и информативность бюджетной отчетности соблюдена у всех ГАБС. </w:t>
      </w:r>
    </w:p>
    <w:p w14:paraId="56DF7B4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 xml:space="preserve">Выводы </w:t>
      </w:r>
    </w:p>
    <w:p w14:paraId="6EFFC96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>По результатам проведенной проверки отчета об исполнении бюджета округа за 202</w:t>
      </w:r>
      <w:r>
        <w:rPr>
          <w:rFonts w:hint="default" w:ascii="Times New Roman" w:hAnsi="Times New Roman"/>
          <w:bCs/>
          <w:sz w:val="28"/>
          <w:szCs w:val="28"/>
          <w:lang w:val="ru-RU"/>
        </w:rPr>
        <w:t>5</w:t>
      </w:r>
      <w:r>
        <w:rPr>
          <w:rFonts w:ascii="Times New Roman" w:hAnsi="Times New Roman"/>
          <w:bCs/>
          <w:sz w:val="28"/>
          <w:szCs w:val="28"/>
        </w:rPr>
        <w:t xml:space="preserve"> год контрольно-счетная комиссия установила:</w:t>
      </w:r>
    </w:p>
    <w:p w14:paraId="1FBAFC5E">
      <w:pPr>
        <w:numPr>
          <w:ilvl w:val="0"/>
          <w:numId w:val="7"/>
        </w:numPr>
        <w:tabs>
          <w:tab w:val="left" w:pos="1134"/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Отчет об исполнении бюджета округа за 202</w:t>
      </w:r>
      <w:r>
        <w:rPr>
          <w:rFonts w:hint="default"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</w:rPr>
        <w:t xml:space="preserve"> год представлен для проведения внешней проверки в контрольно-счетную комиссию в соответствии со сроками, установленными п.3 ст.264.4 БК РФ и главой 33 Положения о бюджетном процессе.</w:t>
      </w:r>
    </w:p>
    <w:p w14:paraId="4C4F553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>Отчет об исполнении бюджета округа за 202</w:t>
      </w: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>5</w:t>
      </w:r>
      <w:r>
        <w:rPr>
          <w:rFonts w:ascii="Times New Roman" w:hAnsi="Times New Roman"/>
          <w:sz w:val="28"/>
          <w:szCs w:val="28"/>
          <w:highlight w:val="none"/>
        </w:rPr>
        <w:t xml:space="preserve"> год представлен с полным соблюдением требований по объему, установленных главой 34 Положения о бюджетном процессе. Все необходимые показатели в проекте решения об исполнении бюджета округа за 202</w:t>
      </w: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>5</w:t>
      </w:r>
      <w:r>
        <w:rPr>
          <w:rFonts w:ascii="Times New Roman" w:hAnsi="Times New Roman"/>
          <w:sz w:val="28"/>
          <w:szCs w:val="28"/>
          <w:highlight w:val="none"/>
        </w:rPr>
        <w:t xml:space="preserve"> год предусмотрены. Показатели отчета об исполнении бюджета по доходам, расходам и источникам финансирования дефицита, подлежащие утверждению, соответствуют итоговым суммам фактических поступлений доходов в бюджет округа и выбытий из бюджета округа в 202</w:t>
      </w: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>5</w:t>
      </w:r>
      <w:r>
        <w:rPr>
          <w:rFonts w:ascii="Times New Roman" w:hAnsi="Times New Roman"/>
          <w:sz w:val="28"/>
          <w:szCs w:val="28"/>
          <w:highlight w:val="none"/>
        </w:rPr>
        <w:t xml:space="preserve"> году и подтверждены отчетами об исполнении бюджета в составе сводной бюджетной отчетности (ф.0503127, 0503317). Нарушений требований бюджетного законодательства и иных правовых актов не выявлено.</w:t>
      </w:r>
    </w:p>
    <w:p w14:paraId="380BE0DB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>Своевременность, достоверность, полнота и соответствие нормативным требованиям составления и представления бюджетной отчетности ГАБС установлены.</w:t>
      </w:r>
    </w:p>
    <w:p w14:paraId="0D48A3A8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>Плановое задание по доходам, утвержденное решением о бюджете, исполнено на 10</w:t>
      </w: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>1</w:t>
      </w:r>
      <w:r>
        <w:rPr>
          <w:rFonts w:ascii="Times New Roman" w:hAnsi="Times New Roman"/>
          <w:sz w:val="28"/>
          <w:szCs w:val="28"/>
          <w:highlight w:val="none"/>
        </w:rPr>
        <w:t>,</w:t>
      </w: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>1</w:t>
      </w:r>
      <w:r>
        <w:rPr>
          <w:rFonts w:ascii="Times New Roman" w:hAnsi="Times New Roman"/>
          <w:sz w:val="28"/>
          <w:szCs w:val="28"/>
          <w:highlight w:val="none"/>
        </w:rPr>
        <w:t xml:space="preserve"> %, план по расходам исполнен на 9</w:t>
      </w: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>8,0</w:t>
      </w:r>
      <w:r>
        <w:rPr>
          <w:rFonts w:ascii="Times New Roman" w:hAnsi="Times New Roman"/>
          <w:sz w:val="28"/>
          <w:szCs w:val="28"/>
          <w:highlight w:val="none"/>
        </w:rPr>
        <w:t xml:space="preserve"> %. Бюджет округа на конец 202</w:t>
      </w: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>5</w:t>
      </w:r>
      <w:r>
        <w:rPr>
          <w:rFonts w:ascii="Times New Roman" w:hAnsi="Times New Roman"/>
          <w:sz w:val="28"/>
          <w:szCs w:val="28"/>
          <w:highlight w:val="none"/>
        </w:rPr>
        <w:t xml:space="preserve"> года исполнен с </w:t>
      </w:r>
      <w:r>
        <w:rPr>
          <w:rFonts w:ascii="Times New Roman" w:hAnsi="Times New Roman"/>
          <w:sz w:val="28"/>
          <w:szCs w:val="28"/>
          <w:highlight w:val="none"/>
          <w:lang w:val="ru-RU"/>
        </w:rPr>
        <w:t>дефицитом</w:t>
      </w:r>
      <w:r>
        <w:rPr>
          <w:rFonts w:ascii="Times New Roman" w:hAnsi="Times New Roman"/>
          <w:sz w:val="28"/>
          <w:szCs w:val="28"/>
          <w:highlight w:val="none"/>
        </w:rPr>
        <w:t xml:space="preserve"> в сумме </w:t>
      </w: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>2 526,98</w:t>
      </w:r>
      <w:r>
        <w:rPr>
          <w:rFonts w:ascii="Times New Roman" w:hAnsi="Times New Roman"/>
          <w:sz w:val="28"/>
          <w:szCs w:val="28"/>
          <w:highlight w:val="none"/>
        </w:rPr>
        <w:t xml:space="preserve"> тыс. рублей.</w:t>
      </w:r>
    </w:p>
    <w:p w14:paraId="5B6C0CC2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>Исполнение бюджета округа в 202</w:t>
      </w: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>5</w:t>
      </w:r>
      <w:r>
        <w:rPr>
          <w:rFonts w:ascii="Times New Roman" w:hAnsi="Times New Roman"/>
          <w:sz w:val="28"/>
          <w:szCs w:val="28"/>
          <w:highlight w:val="none"/>
        </w:rPr>
        <w:t xml:space="preserve"> году осуществлялось по 17 муниципальным программам.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Кассовые расходы на финансирование программных мероприятий составили 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>4 179 348,01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 xml:space="preserve"> тыс. рублей или 9</w:t>
      </w:r>
      <w:r>
        <w:rPr>
          <w:rFonts w:hint="default"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  <w:lang w:val="ru-RU"/>
        </w:rPr>
        <w:t xml:space="preserve">8,0 </w:t>
      </w:r>
      <w:r>
        <w:rPr>
          <w:rFonts w:ascii="Times New Roman" w:hAnsi="Times New Roman" w:eastAsia="Times New Roman,Bold" w:cs="Times New Roman"/>
          <w:bCs/>
          <w:iCs/>
          <w:color w:val="000000"/>
          <w:sz w:val="28"/>
          <w:szCs w:val="28"/>
          <w:highlight w:val="none"/>
        </w:rPr>
        <w:t>% от годовых плановых назначений, предусмотренных на финансирование муниципальных программ</w:t>
      </w:r>
      <w:r>
        <w:rPr>
          <w:rFonts w:ascii="Times New Roman" w:hAnsi="Times New Roman"/>
          <w:sz w:val="28"/>
          <w:szCs w:val="28"/>
          <w:highlight w:val="none"/>
        </w:rPr>
        <w:t>. Степень оценок эффективности 1</w:t>
      </w: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>4</w:t>
      </w:r>
      <w:r>
        <w:rPr>
          <w:rFonts w:ascii="Times New Roman" w:hAnsi="Times New Roman"/>
          <w:sz w:val="28"/>
          <w:szCs w:val="28"/>
          <w:highlight w:val="none"/>
        </w:rPr>
        <w:t xml:space="preserve"> муниципальных программ – высокая, </w:t>
      </w: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>2</w:t>
      </w:r>
      <w:r>
        <w:rPr>
          <w:rFonts w:ascii="Times New Roman" w:hAnsi="Times New Roman"/>
          <w:sz w:val="28"/>
          <w:szCs w:val="28"/>
          <w:highlight w:val="none"/>
        </w:rPr>
        <w:t xml:space="preserve"> – средняя, 1 – удовлетворительная. </w:t>
      </w:r>
    </w:p>
    <w:p w14:paraId="37290B89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>Предельный объем муниципального долга на 202</w:t>
      </w:r>
      <w:r>
        <w:rPr>
          <w:rFonts w:hint="default" w:ascii="Times New Roman" w:hAnsi="Times New Roman"/>
          <w:sz w:val="28"/>
          <w:szCs w:val="28"/>
          <w:highlight w:val="none"/>
          <w:lang w:val="ru-RU"/>
        </w:rPr>
        <w:t>5</w:t>
      </w:r>
      <w:r>
        <w:rPr>
          <w:rFonts w:ascii="Times New Roman" w:hAnsi="Times New Roman"/>
          <w:sz w:val="28"/>
          <w:szCs w:val="28"/>
          <w:highlight w:val="none"/>
        </w:rPr>
        <w:t xml:space="preserve"> год запланирован в сумме 0 тыс.руб., муниципальных заимствований не осуществлялось.</w:t>
      </w:r>
    </w:p>
    <w:p w14:paraId="2910CDA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0"/>
          <w:highlight w:val="none"/>
        </w:rPr>
      </w:pPr>
    </w:p>
    <w:p w14:paraId="375D6D1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Контрольно-счетная комиссия считает возможным </w:t>
      </w:r>
      <w:r>
        <w:rPr>
          <w:rFonts w:ascii="Times New Roman" w:hAnsi="Times New Roman"/>
          <w:sz w:val="28"/>
          <w:szCs w:val="28"/>
          <w:highlight w:val="none"/>
        </w:rPr>
        <w:t xml:space="preserve">рекомендовать отчет об исполнении бюджета Богородского муниципального округа </w:t>
      </w:r>
      <w:r>
        <w:rPr>
          <w:rFonts w:ascii="Times New Roman" w:hAnsi="Times New Roman"/>
          <w:sz w:val="28"/>
          <w:szCs w:val="28"/>
        </w:rPr>
        <w:t>Нижегородской области за 202</w:t>
      </w:r>
      <w:r>
        <w:rPr>
          <w:rFonts w:hint="default"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</w:rPr>
        <w:t xml:space="preserve"> год к утверждению решением Совета депутатов Богородского муниципального округа Нижегородской области.</w:t>
      </w:r>
    </w:p>
    <w:p w14:paraId="505B330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0919F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контрольно-счетной</w:t>
      </w:r>
    </w:p>
    <w:p w14:paraId="1110C69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комиссии Богородского </w:t>
      </w:r>
    </w:p>
    <w:p w14:paraId="3C10890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</w:t>
      </w:r>
    </w:p>
    <w:p w14:paraId="228AF0FD">
      <w:pPr>
        <w:overflowPunct w:val="0"/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Нижегородской области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Н.В.Гуськова</w:t>
      </w:r>
    </w:p>
    <w:sectPr>
      <w:footerReference r:id="rId5" w:type="default"/>
      <w:pgSz w:w="11906" w:h="16838"/>
      <w:pgMar w:top="993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imes New Roman,Bold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0499670"/>
      <w:docPartObj>
        <w:docPartGallery w:val="autotext"/>
      </w:docPartObj>
    </w:sdtPr>
    <w:sdtContent>
      <w:p w14:paraId="645DB5D9">
        <w:pPr>
          <w:pStyle w:val="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26</w:t>
        </w:r>
        <w:r>
          <w:fldChar w:fldCharType="end"/>
        </w:r>
      </w:p>
    </w:sdtContent>
  </w:sdt>
  <w:p w14:paraId="20D20033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D569C0"/>
    <w:multiLevelType w:val="multilevel"/>
    <w:tmpl w:val="2ED569C0"/>
    <w:lvl w:ilvl="0" w:tentative="0">
      <w:start w:val="1"/>
      <w:numFmt w:val="bullet"/>
      <w:lvlText w:val=""/>
      <w:lvlJc w:val="left"/>
      <w:pPr>
        <w:tabs>
          <w:tab w:val="left" w:pos="1260"/>
        </w:tabs>
        <w:ind w:left="12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980"/>
        </w:tabs>
        <w:ind w:left="198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700"/>
        </w:tabs>
        <w:ind w:left="27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420"/>
        </w:tabs>
        <w:ind w:left="34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4140"/>
        </w:tabs>
        <w:ind w:left="414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860"/>
        </w:tabs>
        <w:ind w:left="48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580"/>
        </w:tabs>
        <w:ind w:left="55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300"/>
        </w:tabs>
        <w:ind w:left="630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7020"/>
        </w:tabs>
        <w:ind w:left="7020" w:hanging="360"/>
      </w:pPr>
      <w:rPr>
        <w:rFonts w:hint="default" w:ascii="Wingdings" w:hAnsi="Wingdings"/>
      </w:rPr>
    </w:lvl>
  </w:abstractNum>
  <w:abstractNum w:abstractNumId="1">
    <w:nsid w:val="30C060A8"/>
    <w:multiLevelType w:val="multilevel"/>
    <w:tmpl w:val="30C060A8"/>
    <w:lvl w:ilvl="0" w:tentative="0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6633624"/>
    <w:multiLevelType w:val="multilevel"/>
    <w:tmpl w:val="36633624"/>
    <w:lvl w:ilvl="0" w:tentative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620" w:hanging="360"/>
      </w:pPr>
    </w:lvl>
    <w:lvl w:ilvl="2" w:tentative="0">
      <w:start w:val="1"/>
      <w:numFmt w:val="lowerRoman"/>
      <w:lvlText w:val="%3."/>
      <w:lvlJc w:val="right"/>
      <w:pPr>
        <w:ind w:left="2340" w:hanging="180"/>
      </w:pPr>
    </w:lvl>
    <w:lvl w:ilvl="3" w:tentative="0">
      <w:start w:val="1"/>
      <w:numFmt w:val="decimal"/>
      <w:lvlText w:val="%4."/>
      <w:lvlJc w:val="left"/>
      <w:pPr>
        <w:ind w:left="3060" w:hanging="360"/>
      </w:pPr>
    </w:lvl>
    <w:lvl w:ilvl="4" w:tentative="0">
      <w:start w:val="1"/>
      <w:numFmt w:val="lowerLetter"/>
      <w:lvlText w:val="%5."/>
      <w:lvlJc w:val="left"/>
      <w:pPr>
        <w:ind w:left="3780" w:hanging="360"/>
      </w:pPr>
    </w:lvl>
    <w:lvl w:ilvl="5" w:tentative="0">
      <w:start w:val="1"/>
      <w:numFmt w:val="lowerRoman"/>
      <w:lvlText w:val="%6."/>
      <w:lvlJc w:val="right"/>
      <w:pPr>
        <w:ind w:left="4500" w:hanging="180"/>
      </w:pPr>
    </w:lvl>
    <w:lvl w:ilvl="6" w:tentative="0">
      <w:start w:val="1"/>
      <w:numFmt w:val="decimal"/>
      <w:lvlText w:val="%7."/>
      <w:lvlJc w:val="left"/>
      <w:pPr>
        <w:ind w:left="5220" w:hanging="360"/>
      </w:pPr>
    </w:lvl>
    <w:lvl w:ilvl="7" w:tentative="0">
      <w:start w:val="1"/>
      <w:numFmt w:val="lowerLetter"/>
      <w:lvlText w:val="%8."/>
      <w:lvlJc w:val="left"/>
      <w:pPr>
        <w:ind w:left="5940" w:hanging="360"/>
      </w:pPr>
    </w:lvl>
    <w:lvl w:ilvl="8" w:tentative="0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3D45F47"/>
    <w:multiLevelType w:val="singleLevel"/>
    <w:tmpl w:val="43D45F47"/>
    <w:lvl w:ilvl="0" w:tentative="0">
      <w:start w:val="1"/>
      <w:numFmt w:val="decimal"/>
      <w:lvlText w:val="%1."/>
      <w:legacy w:legacy="1" w:legacySpace="0" w:legacyIndent="360"/>
      <w:lvlJc w:val="left"/>
      <w:rPr>
        <w:rFonts w:hint="default" w:ascii="Times New Roman CYR" w:hAnsi="Times New Roman CYR" w:cs="Times New Roman CYR"/>
      </w:rPr>
    </w:lvl>
  </w:abstractNum>
  <w:abstractNum w:abstractNumId="4">
    <w:nsid w:val="4DF7377A"/>
    <w:multiLevelType w:val="multilevel"/>
    <w:tmpl w:val="4DF7377A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7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5E3426"/>
    <w:multiLevelType w:val="multilevel"/>
    <w:tmpl w:val="685E3426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 w:eastAsia="Times New Roman,Bold"/>
        <w:color w:val="000000"/>
      </w:rPr>
    </w:lvl>
    <w:lvl w:ilvl="1" w:tentative="0">
      <w:start w:val="1"/>
      <w:numFmt w:val="lowerLetter"/>
      <w:lvlText w:val="%2."/>
      <w:lvlJc w:val="left"/>
      <w:pPr>
        <w:ind w:left="1785" w:hanging="360"/>
      </w:pPr>
    </w:lvl>
    <w:lvl w:ilvl="2" w:tentative="0">
      <w:start w:val="1"/>
      <w:numFmt w:val="lowerRoman"/>
      <w:lvlText w:val="%3."/>
      <w:lvlJc w:val="right"/>
      <w:pPr>
        <w:ind w:left="2505" w:hanging="180"/>
      </w:pPr>
    </w:lvl>
    <w:lvl w:ilvl="3" w:tentative="0">
      <w:start w:val="1"/>
      <w:numFmt w:val="decimal"/>
      <w:lvlText w:val="%4."/>
      <w:lvlJc w:val="left"/>
      <w:pPr>
        <w:ind w:left="3225" w:hanging="360"/>
      </w:pPr>
    </w:lvl>
    <w:lvl w:ilvl="4" w:tentative="0">
      <w:start w:val="1"/>
      <w:numFmt w:val="lowerLetter"/>
      <w:lvlText w:val="%5."/>
      <w:lvlJc w:val="left"/>
      <w:pPr>
        <w:ind w:left="3945" w:hanging="360"/>
      </w:pPr>
    </w:lvl>
    <w:lvl w:ilvl="5" w:tentative="0">
      <w:start w:val="1"/>
      <w:numFmt w:val="lowerRoman"/>
      <w:lvlText w:val="%6."/>
      <w:lvlJc w:val="right"/>
      <w:pPr>
        <w:ind w:left="4665" w:hanging="180"/>
      </w:pPr>
    </w:lvl>
    <w:lvl w:ilvl="6" w:tentative="0">
      <w:start w:val="1"/>
      <w:numFmt w:val="decimal"/>
      <w:lvlText w:val="%7."/>
      <w:lvlJc w:val="left"/>
      <w:pPr>
        <w:ind w:left="5385" w:hanging="360"/>
      </w:pPr>
    </w:lvl>
    <w:lvl w:ilvl="7" w:tentative="0">
      <w:start w:val="1"/>
      <w:numFmt w:val="lowerLetter"/>
      <w:lvlText w:val="%8."/>
      <w:lvlJc w:val="left"/>
      <w:pPr>
        <w:ind w:left="6105" w:hanging="360"/>
      </w:pPr>
    </w:lvl>
    <w:lvl w:ilvl="8" w:tentative="0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6A8776A2"/>
    <w:multiLevelType w:val="singleLevel"/>
    <w:tmpl w:val="6A8776A2"/>
    <w:lvl w:ilvl="0" w:tentative="0">
      <w:start w:val="14"/>
      <w:numFmt w:val="decimal"/>
      <w:suff w:val="space"/>
      <w:lvlText w:val="%1.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657"/>
    <w:rsid w:val="00001B1E"/>
    <w:rsid w:val="00003B1E"/>
    <w:rsid w:val="00006F27"/>
    <w:rsid w:val="0001081F"/>
    <w:rsid w:val="00011291"/>
    <w:rsid w:val="00011713"/>
    <w:rsid w:val="00015555"/>
    <w:rsid w:val="00017301"/>
    <w:rsid w:val="000175EC"/>
    <w:rsid w:val="00020538"/>
    <w:rsid w:val="00036153"/>
    <w:rsid w:val="00036505"/>
    <w:rsid w:val="00036AF1"/>
    <w:rsid w:val="0004013F"/>
    <w:rsid w:val="00040401"/>
    <w:rsid w:val="000438B7"/>
    <w:rsid w:val="00044F5E"/>
    <w:rsid w:val="00050021"/>
    <w:rsid w:val="00050B3B"/>
    <w:rsid w:val="00051810"/>
    <w:rsid w:val="00053B75"/>
    <w:rsid w:val="000628A7"/>
    <w:rsid w:val="0006344E"/>
    <w:rsid w:val="00064F86"/>
    <w:rsid w:val="00065291"/>
    <w:rsid w:val="0006624E"/>
    <w:rsid w:val="000700EF"/>
    <w:rsid w:val="000771A5"/>
    <w:rsid w:val="0007785E"/>
    <w:rsid w:val="000840BC"/>
    <w:rsid w:val="00084618"/>
    <w:rsid w:val="0008642E"/>
    <w:rsid w:val="00087315"/>
    <w:rsid w:val="00090597"/>
    <w:rsid w:val="0009270E"/>
    <w:rsid w:val="000938BB"/>
    <w:rsid w:val="00093D40"/>
    <w:rsid w:val="00096B26"/>
    <w:rsid w:val="000A5D5B"/>
    <w:rsid w:val="000A611B"/>
    <w:rsid w:val="000A73D1"/>
    <w:rsid w:val="000B3D47"/>
    <w:rsid w:val="000B4D64"/>
    <w:rsid w:val="000B5C3E"/>
    <w:rsid w:val="000C7C2A"/>
    <w:rsid w:val="000D3F29"/>
    <w:rsid w:val="000E1D8D"/>
    <w:rsid w:val="000E263B"/>
    <w:rsid w:val="000E7C55"/>
    <w:rsid w:val="000F10E3"/>
    <w:rsid w:val="000F10FB"/>
    <w:rsid w:val="000F2A05"/>
    <w:rsid w:val="000F2E61"/>
    <w:rsid w:val="000F5B94"/>
    <w:rsid w:val="00100C2A"/>
    <w:rsid w:val="0010101B"/>
    <w:rsid w:val="00101451"/>
    <w:rsid w:val="00102A3E"/>
    <w:rsid w:val="00102AE2"/>
    <w:rsid w:val="00105C07"/>
    <w:rsid w:val="0010633D"/>
    <w:rsid w:val="00107C7C"/>
    <w:rsid w:val="00113801"/>
    <w:rsid w:val="001154CD"/>
    <w:rsid w:val="00116D13"/>
    <w:rsid w:val="0012210E"/>
    <w:rsid w:val="001239C7"/>
    <w:rsid w:val="00125C46"/>
    <w:rsid w:val="00136480"/>
    <w:rsid w:val="001373D4"/>
    <w:rsid w:val="001376C4"/>
    <w:rsid w:val="0014347E"/>
    <w:rsid w:val="001444B1"/>
    <w:rsid w:val="001522F6"/>
    <w:rsid w:val="0015609B"/>
    <w:rsid w:val="00164D6F"/>
    <w:rsid w:val="00166490"/>
    <w:rsid w:val="00172A27"/>
    <w:rsid w:val="00172B3D"/>
    <w:rsid w:val="001763F1"/>
    <w:rsid w:val="00180340"/>
    <w:rsid w:val="0018418F"/>
    <w:rsid w:val="00184EBE"/>
    <w:rsid w:val="00192154"/>
    <w:rsid w:val="00193506"/>
    <w:rsid w:val="00193F50"/>
    <w:rsid w:val="00197FE1"/>
    <w:rsid w:val="001B0577"/>
    <w:rsid w:val="001B1309"/>
    <w:rsid w:val="001B22A7"/>
    <w:rsid w:val="001B334D"/>
    <w:rsid w:val="001B5A2A"/>
    <w:rsid w:val="001B67C5"/>
    <w:rsid w:val="001B6960"/>
    <w:rsid w:val="001B6B39"/>
    <w:rsid w:val="001C5BDD"/>
    <w:rsid w:val="001C7B00"/>
    <w:rsid w:val="001D133E"/>
    <w:rsid w:val="001D3BB3"/>
    <w:rsid w:val="001D4719"/>
    <w:rsid w:val="001D5AD0"/>
    <w:rsid w:val="001D6341"/>
    <w:rsid w:val="001E01D0"/>
    <w:rsid w:val="001E13B2"/>
    <w:rsid w:val="001E1E5D"/>
    <w:rsid w:val="001E2F67"/>
    <w:rsid w:val="001E42F4"/>
    <w:rsid w:val="001E745D"/>
    <w:rsid w:val="001F0AB5"/>
    <w:rsid w:val="001F2357"/>
    <w:rsid w:val="00205005"/>
    <w:rsid w:val="00206833"/>
    <w:rsid w:val="00207A1C"/>
    <w:rsid w:val="00210AD7"/>
    <w:rsid w:val="00215874"/>
    <w:rsid w:val="00220553"/>
    <w:rsid w:val="00231501"/>
    <w:rsid w:val="00240591"/>
    <w:rsid w:val="0024282A"/>
    <w:rsid w:val="00245191"/>
    <w:rsid w:val="0025067E"/>
    <w:rsid w:val="00251B79"/>
    <w:rsid w:val="00254982"/>
    <w:rsid w:val="002550E6"/>
    <w:rsid w:val="00255738"/>
    <w:rsid w:val="002565CC"/>
    <w:rsid w:val="00260C64"/>
    <w:rsid w:val="00266775"/>
    <w:rsid w:val="00267C54"/>
    <w:rsid w:val="00267CE1"/>
    <w:rsid w:val="002704D3"/>
    <w:rsid w:val="00272CB3"/>
    <w:rsid w:val="0027472C"/>
    <w:rsid w:val="00275C1A"/>
    <w:rsid w:val="002777BB"/>
    <w:rsid w:val="002829BC"/>
    <w:rsid w:val="00283B61"/>
    <w:rsid w:val="002854CB"/>
    <w:rsid w:val="002875A1"/>
    <w:rsid w:val="00287908"/>
    <w:rsid w:val="00292550"/>
    <w:rsid w:val="00293C26"/>
    <w:rsid w:val="00294F16"/>
    <w:rsid w:val="00295E97"/>
    <w:rsid w:val="002A22AD"/>
    <w:rsid w:val="002B4569"/>
    <w:rsid w:val="002B6039"/>
    <w:rsid w:val="002B6044"/>
    <w:rsid w:val="002B79B1"/>
    <w:rsid w:val="002E0F4B"/>
    <w:rsid w:val="002E33EB"/>
    <w:rsid w:val="002E4347"/>
    <w:rsid w:val="002F10F6"/>
    <w:rsid w:val="002F19AA"/>
    <w:rsid w:val="002F3293"/>
    <w:rsid w:val="002F3E76"/>
    <w:rsid w:val="002F6452"/>
    <w:rsid w:val="003107BC"/>
    <w:rsid w:val="00316B3E"/>
    <w:rsid w:val="00323ED4"/>
    <w:rsid w:val="00324069"/>
    <w:rsid w:val="00330236"/>
    <w:rsid w:val="00330C63"/>
    <w:rsid w:val="0033284A"/>
    <w:rsid w:val="003334E4"/>
    <w:rsid w:val="0033509B"/>
    <w:rsid w:val="0033582E"/>
    <w:rsid w:val="00341ABC"/>
    <w:rsid w:val="00350FC7"/>
    <w:rsid w:val="003511B1"/>
    <w:rsid w:val="00355126"/>
    <w:rsid w:val="00360D00"/>
    <w:rsid w:val="00362532"/>
    <w:rsid w:val="0036302C"/>
    <w:rsid w:val="0036331E"/>
    <w:rsid w:val="0036577B"/>
    <w:rsid w:val="0037020D"/>
    <w:rsid w:val="00371BAC"/>
    <w:rsid w:val="003722FB"/>
    <w:rsid w:val="0037260E"/>
    <w:rsid w:val="003831E6"/>
    <w:rsid w:val="00383DC3"/>
    <w:rsid w:val="00386277"/>
    <w:rsid w:val="003935D9"/>
    <w:rsid w:val="00394577"/>
    <w:rsid w:val="00394F70"/>
    <w:rsid w:val="003960D5"/>
    <w:rsid w:val="00397A85"/>
    <w:rsid w:val="003B0C2F"/>
    <w:rsid w:val="003B0EF0"/>
    <w:rsid w:val="003B13D4"/>
    <w:rsid w:val="003B15D4"/>
    <w:rsid w:val="003B2DA5"/>
    <w:rsid w:val="003B310A"/>
    <w:rsid w:val="003C06C4"/>
    <w:rsid w:val="003C3957"/>
    <w:rsid w:val="003C4475"/>
    <w:rsid w:val="003C68CA"/>
    <w:rsid w:val="003C69E7"/>
    <w:rsid w:val="003D4D78"/>
    <w:rsid w:val="003E2AEA"/>
    <w:rsid w:val="003F10F5"/>
    <w:rsid w:val="003F3169"/>
    <w:rsid w:val="003F6EF5"/>
    <w:rsid w:val="00405247"/>
    <w:rsid w:val="004125C1"/>
    <w:rsid w:val="0041398D"/>
    <w:rsid w:val="00415FDC"/>
    <w:rsid w:val="00417A94"/>
    <w:rsid w:val="00421E9F"/>
    <w:rsid w:val="00422E53"/>
    <w:rsid w:val="00424296"/>
    <w:rsid w:val="00427687"/>
    <w:rsid w:val="00427ADA"/>
    <w:rsid w:val="00427DED"/>
    <w:rsid w:val="00431B01"/>
    <w:rsid w:val="00432CE9"/>
    <w:rsid w:val="0043372E"/>
    <w:rsid w:val="00433B24"/>
    <w:rsid w:val="00433E97"/>
    <w:rsid w:val="00434A75"/>
    <w:rsid w:val="004350CD"/>
    <w:rsid w:val="0044406D"/>
    <w:rsid w:val="0045046D"/>
    <w:rsid w:val="00452490"/>
    <w:rsid w:val="00454E48"/>
    <w:rsid w:val="00456E87"/>
    <w:rsid w:val="0046004C"/>
    <w:rsid w:val="004718E7"/>
    <w:rsid w:val="00472171"/>
    <w:rsid w:val="00472C2F"/>
    <w:rsid w:val="004733B1"/>
    <w:rsid w:val="004734FD"/>
    <w:rsid w:val="00475AEE"/>
    <w:rsid w:val="004806E8"/>
    <w:rsid w:val="00483947"/>
    <w:rsid w:val="00483AFB"/>
    <w:rsid w:val="00483C90"/>
    <w:rsid w:val="00485309"/>
    <w:rsid w:val="004877D6"/>
    <w:rsid w:val="00491C06"/>
    <w:rsid w:val="004A24EF"/>
    <w:rsid w:val="004A7024"/>
    <w:rsid w:val="004B1E94"/>
    <w:rsid w:val="004B2021"/>
    <w:rsid w:val="004B3338"/>
    <w:rsid w:val="004C07D3"/>
    <w:rsid w:val="004C4F20"/>
    <w:rsid w:val="004C6AE7"/>
    <w:rsid w:val="004C73C1"/>
    <w:rsid w:val="004D61E0"/>
    <w:rsid w:val="004E06AF"/>
    <w:rsid w:val="004E07DD"/>
    <w:rsid w:val="004E3265"/>
    <w:rsid w:val="004E4316"/>
    <w:rsid w:val="004F3453"/>
    <w:rsid w:val="004F5187"/>
    <w:rsid w:val="004F574C"/>
    <w:rsid w:val="004F7223"/>
    <w:rsid w:val="004F739E"/>
    <w:rsid w:val="00503A29"/>
    <w:rsid w:val="00506136"/>
    <w:rsid w:val="0051071C"/>
    <w:rsid w:val="005172FA"/>
    <w:rsid w:val="005177C2"/>
    <w:rsid w:val="00520817"/>
    <w:rsid w:val="005314FF"/>
    <w:rsid w:val="0053315B"/>
    <w:rsid w:val="00536F39"/>
    <w:rsid w:val="00543E10"/>
    <w:rsid w:val="00546365"/>
    <w:rsid w:val="00546F2B"/>
    <w:rsid w:val="005515C5"/>
    <w:rsid w:val="005517A8"/>
    <w:rsid w:val="00555289"/>
    <w:rsid w:val="00560C7E"/>
    <w:rsid w:val="00562375"/>
    <w:rsid w:val="00562EE3"/>
    <w:rsid w:val="00566D74"/>
    <w:rsid w:val="005757BF"/>
    <w:rsid w:val="00575B43"/>
    <w:rsid w:val="00576651"/>
    <w:rsid w:val="00577E79"/>
    <w:rsid w:val="00581646"/>
    <w:rsid w:val="0058224F"/>
    <w:rsid w:val="00583EFD"/>
    <w:rsid w:val="00594E94"/>
    <w:rsid w:val="005A14E8"/>
    <w:rsid w:val="005A5A69"/>
    <w:rsid w:val="005A6156"/>
    <w:rsid w:val="005B0D4D"/>
    <w:rsid w:val="005B2404"/>
    <w:rsid w:val="005B4F51"/>
    <w:rsid w:val="005B5344"/>
    <w:rsid w:val="005D216D"/>
    <w:rsid w:val="005D55A7"/>
    <w:rsid w:val="005D6750"/>
    <w:rsid w:val="005E19D1"/>
    <w:rsid w:val="005E1F40"/>
    <w:rsid w:val="005E2360"/>
    <w:rsid w:val="005E3353"/>
    <w:rsid w:val="005E4862"/>
    <w:rsid w:val="005E7BB7"/>
    <w:rsid w:val="005F0459"/>
    <w:rsid w:val="005F45DC"/>
    <w:rsid w:val="005F71BD"/>
    <w:rsid w:val="00600303"/>
    <w:rsid w:val="006067E4"/>
    <w:rsid w:val="00606A74"/>
    <w:rsid w:val="00606AB9"/>
    <w:rsid w:val="0061203C"/>
    <w:rsid w:val="00613829"/>
    <w:rsid w:val="00621525"/>
    <w:rsid w:val="0062343F"/>
    <w:rsid w:val="00626037"/>
    <w:rsid w:val="006263D2"/>
    <w:rsid w:val="00626499"/>
    <w:rsid w:val="006305B7"/>
    <w:rsid w:val="00630E5F"/>
    <w:rsid w:val="0063154D"/>
    <w:rsid w:val="00633316"/>
    <w:rsid w:val="00635ACF"/>
    <w:rsid w:val="00635B8D"/>
    <w:rsid w:val="006378F3"/>
    <w:rsid w:val="006417A6"/>
    <w:rsid w:val="00641F8F"/>
    <w:rsid w:val="00642BFA"/>
    <w:rsid w:val="0064395A"/>
    <w:rsid w:val="00645E61"/>
    <w:rsid w:val="006476D9"/>
    <w:rsid w:val="0065334C"/>
    <w:rsid w:val="0065447A"/>
    <w:rsid w:val="00654D57"/>
    <w:rsid w:val="00663EBF"/>
    <w:rsid w:val="00670C1E"/>
    <w:rsid w:val="006723CB"/>
    <w:rsid w:val="006739A6"/>
    <w:rsid w:val="00673A06"/>
    <w:rsid w:val="006748C3"/>
    <w:rsid w:val="00674C65"/>
    <w:rsid w:val="00675248"/>
    <w:rsid w:val="00675554"/>
    <w:rsid w:val="00686936"/>
    <w:rsid w:val="00691115"/>
    <w:rsid w:val="00695D42"/>
    <w:rsid w:val="00695D9D"/>
    <w:rsid w:val="0069708A"/>
    <w:rsid w:val="006977B6"/>
    <w:rsid w:val="006A0D71"/>
    <w:rsid w:val="006B279C"/>
    <w:rsid w:val="006B5ABA"/>
    <w:rsid w:val="006B5B56"/>
    <w:rsid w:val="006B5C68"/>
    <w:rsid w:val="006C25CE"/>
    <w:rsid w:val="006C4148"/>
    <w:rsid w:val="006C48A3"/>
    <w:rsid w:val="006C4D72"/>
    <w:rsid w:val="006C597B"/>
    <w:rsid w:val="006C622C"/>
    <w:rsid w:val="006D6DAC"/>
    <w:rsid w:val="006E4438"/>
    <w:rsid w:val="006E7E79"/>
    <w:rsid w:val="006F10CF"/>
    <w:rsid w:val="006F17AC"/>
    <w:rsid w:val="006F4881"/>
    <w:rsid w:val="006F7C1F"/>
    <w:rsid w:val="00700C69"/>
    <w:rsid w:val="00700FF2"/>
    <w:rsid w:val="007012ED"/>
    <w:rsid w:val="0070160E"/>
    <w:rsid w:val="00701EB3"/>
    <w:rsid w:val="00723815"/>
    <w:rsid w:val="00723A26"/>
    <w:rsid w:val="00725117"/>
    <w:rsid w:val="007251CD"/>
    <w:rsid w:val="00725AF1"/>
    <w:rsid w:val="007279E4"/>
    <w:rsid w:val="007305E1"/>
    <w:rsid w:val="00732457"/>
    <w:rsid w:val="00732696"/>
    <w:rsid w:val="0073430F"/>
    <w:rsid w:val="00734D78"/>
    <w:rsid w:val="00736272"/>
    <w:rsid w:val="007432B3"/>
    <w:rsid w:val="00743E08"/>
    <w:rsid w:val="007460EC"/>
    <w:rsid w:val="00751F4B"/>
    <w:rsid w:val="00752D1B"/>
    <w:rsid w:val="00753C45"/>
    <w:rsid w:val="00760890"/>
    <w:rsid w:val="00761DED"/>
    <w:rsid w:val="00766563"/>
    <w:rsid w:val="00771791"/>
    <w:rsid w:val="007777EE"/>
    <w:rsid w:val="0078041E"/>
    <w:rsid w:val="0078086F"/>
    <w:rsid w:val="0078177F"/>
    <w:rsid w:val="007831E3"/>
    <w:rsid w:val="00783FFD"/>
    <w:rsid w:val="007842DA"/>
    <w:rsid w:val="00785E09"/>
    <w:rsid w:val="00792119"/>
    <w:rsid w:val="007A4D77"/>
    <w:rsid w:val="007A4FD9"/>
    <w:rsid w:val="007A5AFA"/>
    <w:rsid w:val="007A5CA2"/>
    <w:rsid w:val="007A6726"/>
    <w:rsid w:val="007A7F25"/>
    <w:rsid w:val="007B0A83"/>
    <w:rsid w:val="007B2F94"/>
    <w:rsid w:val="007B4887"/>
    <w:rsid w:val="007B5AD5"/>
    <w:rsid w:val="007C0F12"/>
    <w:rsid w:val="007C1583"/>
    <w:rsid w:val="007C5E1A"/>
    <w:rsid w:val="007C6A07"/>
    <w:rsid w:val="007C7579"/>
    <w:rsid w:val="007C7CD4"/>
    <w:rsid w:val="007D3B0A"/>
    <w:rsid w:val="007D550A"/>
    <w:rsid w:val="007D5C14"/>
    <w:rsid w:val="007E5477"/>
    <w:rsid w:val="007F0092"/>
    <w:rsid w:val="007F04BD"/>
    <w:rsid w:val="007F1F00"/>
    <w:rsid w:val="007F41E2"/>
    <w:rsid w:val="007F7A19"/>
    <w:rsid w:val="00800F24"/>
    <w:rsid w:val="0080249D"/>
    <w:rsid w:val="00803047"/>
    <w:rsid w:val="00807116"/>
    <w:rsid w:val="00816AD7"/>
    <w:rsid w:val="00823E21"/>
    <w:rsid w:val="00824596"/>
    <w:rsid w:val="008248BC"/>
    <w:rsid w:val="00825430"/>
    <w:rsid w:val="00827828"/>
    <w:rsid w:val="00842D46"/>
    <w:rsid w:val="00843635"/>
    <w:rsid w:val="008438D4"/>
    <w:rsid w:val="00856BB6"/>
    <w:rsid w:val="00857008"/>
    <w:rsid w:val="00860B56"/>
    <w:rsid w:val="00866F4A"/>
    <w:rsid w:val="00867360"/>
    <w:rsid w:val="00873EB6"/>
    <w:rsid w:val="0087472C"/>
    <w:rsid w:val="00882781"/>
    <w:rsid w:val="00886BA0"/>
    <w:rsid w:val="0089071D"/>
    <w:rsid w:val="00890C92"/>
    <w:rsid w:val="0089171C"/>
    <w:rsid w:val="00892AE4"/>
    <w:rsid w:val="00892BC3"/>
    <w:rsid w:val="00893794"/>
    <w:rsid w:val="00893998"/>
    <w:rsid w:val="008953FD"/>
    <w:rsid w:val="00895871"/>
    <w:rsid w:val="00895DB3"/>
    <w:rsid w:val="008A1850"/>
    <w:rsid w:val="008A3B58"/>
    <w:rsid w:val="008A417C"/>
    <w:rsid w:val="008A42BE"/>
    <w:rsid w:val="008A4745"/>
    <w:rsid w:val="008A5487"/>
    <w:rsid w:val="008A5EDC"/>
    <w:rsid w:val="008B0488"/>
    <w:rsid w:val="008B3165"/>
    <w:rsid w:val="008B4019"/>
    <w:rsid w:val="008B4C5D"/>
    <w:rsid w:val="008B739D"/>
    <w:rsid w:val="008C1E7C"/>
    <w:rsid w:val="008C39D3"/>
    <w:rsid w:val="008C72C7"/>
    <w:rsid w:val="008C72E5"/>
    <w:rsid w:val="008D1701"/>
    <w:rsid w:val="008E1CEF"/>
    <w:rsid w:val="008E1DD0"/>
    <w:rsid w:val="008E516B"/>
    <w:rsid w:val="008E715F"/>
    <w:rsid w:val="008E7DF7"/>
    <w:rsid w:val="008F3042"/>
    <w:rsid w:val="008F4E45"/>
    <w:rsid w:val="008F5167"/>
    <w:rsid w:val="008F5CE8"/>
    <w:rsid w:val="008F6F95"/>
    <w:rsid w:val="0090062A"/>
    <w:rsid w:val="00901281"/>
    <w:rsid w:val="009059E9"/>
    <w:rsid w:val="00913654"/>
    <w:rsid w:val="00913826"/>
    <w:rsid w:val="00915787"/>
    <w:rsid w:val="00916D1C"/>
    <w:rsid w:val="00916E31"/>
    <w:rsid w:val="0092169E"/>
    <w:rsid w:val="009256B2"/>
    <w:rsid w:val="00926E1C"/>
    <w:rsid w:val="0093089D"/>
    <w:rsid w:val="00932D5E"/>
    <w:rsid w:val="009348BE"/>
    <w:rsid w:val="00937910"/>
    <w:rsid w:val="00940F3F"/>
    <w:rsid w:val="00944FA1"/>
    <w:rsid w:val="009450C0"/>
    <w:rsid w:val="00947098"/>
    <w:rsid w:val="00950D70"/>
    <w:rsid w:val="0095220D"/>
    <w:rsid w:val="009552D6"/>
    <w:rsid w:val="00961485"/>
    <w:rsid w:val="00963BF2"/>
    <w:rsid w:val="00964135"/>
    <w:rsid w:val="00965952"/>
    <w:rsid w:val="00970B1E"/>
    <w:rsid w:val="0097104D"/>
    <w:rsid w:val="00971ABB"/>
    <w:rsid w:val="009721F0"/>
    <w:rsid w:val="00973987"/>
    <w:rsid w:val="00974C6A"/>
    <w:rsid w:val="0098409E"/>
    <w:rsid w:val="00985B39"/>
    <w:rsid w:val="0099496F"/>
    <w:rsid w:val="00995F16"/>
    <w:rsid w:val="00996C8F"/>
    <w:rsid w:val="00996ECE"/>
    <w:rsid w:val="009A41D2"/>
    <w:rsid w:val="009A79FB"/>
    <w:rsid w:val="009A7ACF"/>
    <w:rsid w:val="009B0C88"/>
    <w:rsid w:val="009B1511"/>
    <w:rsid w:val="009B1836"/>
    <w:rsid w:val="009C2FE4"/>
    <w:rsid w:val="009C39CE"/>
    <w:rsid w:val="009C4515"/>
    <w:rsid w:val="009D0C91"/>
    <w:rsid w:val="009D273D"/>
    <w:rsid w:val="009D42CB"/>
    <w:rsid w:val="009D47A8"/>
    <w:rsid w:val="009D51FB"/>
    <w:rsid w:val="009D6012"/>
    <w:rsid w:val="009D7A15"/>
    <w:rsid w:val="009E0C1D"/>
    <w:rsid w:val="009E2EFF"/>
    <w:rsid w:val="009F1B35"/>
    <w:rsid w:val="009F3355"/>
    <w:rsid w:val="009F3B4B"/>
    <w:rsid w:val="009F54DF"/>
    <w:rsid w:val="00A01C95"/>
    <w:rsid w:val="00A1012C"/>
    <w:rsid w:val="00A11166"/>
    <w:rsid w:val="00A11ED0"/>
    <w:rsid w:val="00A26574"/>
    <w:rsid w:val="00A54F2A"/>
    <w:rsid w:val="00A5533A"/>
    <w:rsid w:val="00A626E9"/>
    <w:rsid w:val="00A63896"/>
    <w:rsid w:val="00A70AEA"/>
    <w:rsid w:val="00A7226D"/>
    <w:rsid w:val="00A75C4B"/>
    <w:rsid w:val="00A77882"/>
    <w:rsid w:val="00A8373A"/>
    <w:rsid w:val="00A856A4"/>
    <w:rsid w:val="00A86593"/>
    <w:rsid w:val="00A933B1"/>
    <w:rsid w:val="00A942A6"/>
    <w:rsid w:val="00A9585F"/>
    <w:rsid w:val="00A95C67"/>
    <w:rsid w:val="00A961A3"/>
    <w:rsid w:val="00AA52D9"/>
    <w:rsid w:val="00AB2345"/>
    <w:rsid w:val="00AB4615"/>
    <w:rsid w:val="00AB4F64"/>
    <w:rsid w:val="00AB5150"/>
    <w:rsid w:val="00AC0FF6"/>
    <w:rsid w:val="00AC1E29"/>
    <w:rsid w:val="00AC39D4"/>
    <w:rsid w:val="00AD1039"/>
    <w:rsid w:val="00AD2CCC"/>
    <w:rsid w:val="00AD34B5"/>
    <w:rsid w:val="00AD40BA"/>
    <w:rsid w:val="00AE16FF"/>
    <w:rsid w:val="00AE3EEE"/>
    <w:rsid w:val="00AF1AEE"/>
    <w:rsid w:val="00AF501B"/>
    <w:rsid w:val="00AF692E"/>
    <w:rsid w:val="00B0372A"/>
    <w:rsid w:val="00B0449A"/>
    <w:rsid w:val="00B04704"/>
    <w:rsid w:val="00B0601B"/>
    <w:rsid w:val="00B061D3"/>
    <w:rsid w:val="00B10D6B"/>
    <w:rsid w:val="00B1610B"/>
    <w:rsid w:val="00B17468"/>
    <w:rsid w:val="00B21FC1"/>
    <w:rsid w:val="00B22F99"/>
    <w:rsid w:val="00B2345F"/>
    <w:rsid w:val="00B2684F"/>
    <w:rsid w:val="00B268B6"/>
    <w:rsid w:val="00B26A6C"/>
    <w:rsid w:val="00B3442F"/>
    <w:rsid w:val="00B43182"/>
    <w:rsid w:val="00B45918"/>
    <w:rsid w:val="00B459D9"/>
    <w:rsid w:val="00B54690"/>
    <w:rsid w:val="00B640CF"/>
    <w:rsid w:val="00B64C11"/>
    <w:rsid w:val="00B66D2B"/>
    <w:rsid w:val="00B671AD"/>
    <w:rsid w:val="00B733BA"/>
    <w:rsid w:val="00B74299"/>
    <w:rsid w:val="00B76C63"/>
    <w:rsid w:val="00B84EA4"/>
    <w:rsid w:val="00B86A61"/>
    <w:rsid w:val="00B932AD"/>
    <w:rsid w:val="00B93C2E"/>
    <w:rsid w:val="00B95BA6"/>
    <w:rsid w:val="00B96421"/>
    <w:rsid w:val="00BA028B"/>
    <w:rsid w:val="00BA2A86"/>
    <w:rsid w:val="00BA5D97"/>
    <w:rsid w:val="00BB0508"/>
    <w:rsid w:val="00BB3B45"/>
    <w:rsid w:val="00BB4CDB"/>
    <w:rsid w:val="00BB5FCF"/>
    <w:rsid w:val="00BC0C93"/>
    <w:rsid w:val="00BC610E"/>
    <w:rsid w:val="00BD1830"/>
    <w:rsid w:val="00BD2759"/>
    <w:rsid w:val="00BD55B7"/>
    <w:rsid w:val="00BD565F"/>
    <w:rsid w:val="00BD58EE"/>
    <w:rsid w:val="00BD781F"/>
    <w:rsid w:val="00BE10C1"/>
    <w:rsid w:val="00BE156C"/>
    <w:rsid w:val="00BE3C10"/>
    <w:rsid w:val="00BE55ED"/>
    <w:rsid w:val="00BE718A"/>
    <w:rsid w:val="00BE7AD2"/>
    <w:rsid w:val="00BF0E25"/>
    <w:rsid w:val="00BF244D"/>
    <w:rsid w:val="00BF63BF"/>
    <w:rsid w:val="00C01FE6"/>
    <w:rsid w:val="00C10CA1"/>
    <w:rsid w:val="00C11C8B"/>
    <w:rsid w:val="00C12941"/>
    <w:rsid w:val="00C14048"/>
    <w:rsid w:val="00C14143"/>
    <w:rsid w:val="00C14337"/>
    <w:rsid w:val="00C177AA"/>
    <w:rsid w:val="00C2026D"/>
    <w:rsid w:val="00C21125"/>
    <w:rsid w:val="00C214AA"/>
    <w:rsid w:val="00C274E7"/>
    <w:rsid w:val="00C32A23"/>
    <w:rsid w:val="00C36070"/>
    <w:rsid w:val="00C375AE"/>
    <w:rsid w:val="00C3783D"/>
    <w:rsid w:val="00C408FA"/>
    <w:rsid w:val="00C40DDB"/>
    <w:rsid w:val="00C4362F"/>
    <w:rsid w:val="00C47888"/>
    <w:rsid w:val="00C56AB6"/>
    <w:rsid w:val="00C57E35"/>
    <w:rsid w:val="00C630E8"/>
    <w:rsid w:val="00C6331E"/>
    <w:rsid w:val="00C63996"/>
    <w:rsid w:val="00C65F5E"/>
    <w:rsid w:val="00C720BD"/>
    <w:rsid w:val="00C73325"/>
    <w:rsid w:val="00C7490B"/>
    <w:rsid w:val="00C76D64"/>
    <w:rsid w:val="00C83BBB"/>
    <w:rsid w:val="00C84350"/>
    <w:rsid w:val="00C92FC1"/>
    <w:rsid w:val="00CA0A12"/>
    <w:rsid w:val="00CA3543"/>
    <w:rsid w:val="00CA4467"/>
    <w:rsid w:val="00CA4ECC"/>
    <w:rsid w:val="00CB1F8C"/>
    <w:rsid w:val="00CC28A0"/>
    <w:rsid w:val="00CC32D2"/>
    <w:rsid w:val="00CC34AF"/>
    <w:rsid w:val="00CC58E1"/>
    <w:rsid w:val="00CC5D37"/>
    <w:rsid w:val="00CC7472"/>
    <w:rsid w:val="00CD1148"/>
    <w:rsid w:val="00CD11DA"/>
    <w:rsid w:val="00CD538B"/>
    <w:rsid w:val="00CD6152"/>
    <w:rsid w:val="00CD7149"/>
    <w:rsid w:val="00CE36B7"/>
    <w:rsid w:val="00CE4860"/>
    <w:rsid w:val="00CF11B6"/>
    <w:rsid w:val="00CF1CC5"/>
    <w:rsid w:val="00CF5691"/>
    <w:rsid w:val="00CF72D0"/>
    <w:rsid w:val="00CF7690"/>
    <w:rsid w:val="00D01EB8"/>
    <w:rsid w:val="00D03BA0"/>
    <w:rsid w:val="00D0489D"/>
    <w:rsid w:val="00D065DD"/>
    <w:rsid w:val="00D1078D"/>
    <w:rsid w:val="00D10CE1"/>
    <w:rsid w:val="00D12BFB"/>
    <w:rsid w:val="00D16FDA"/>
    <w:rsid w:val="00D17E56"/>
    <w:rsid w:val="00D17F39"/>
    <w:rsid w:val="00D25A58"/>
    <w:rsid w:val="00D275E9"/>
    <w:rsid w:val="00D34A89"/>
    <w:rsid w:val="00D35FD8"/>
    <w:rsid w:val="00D4062F"/>
    <w:rsid w:val="00D42885"/>
    <w:rsid w:val="00D4517E"/>
    <w:rsid w:val="00D46073"/>
    <w:rsid w:val="00D50EBE"/>
    <w:rsid w:val="00D54CC1"/>
    <w:rsid w:val="00D552C8"/>
    <w:rsid w:val="00D61BA7"/>
    <w:rsid w:val="00D62989"/>
    <w:rsid w:val="00D64704"/>
    <w:rsid w:val="00D64E55"/>
    <w:rsid w:val="00D678B0"/>
    <w:rsid w:val="00D71B60"/>
    <w:rsid w:val="00D74F7E"/>
    <w:rsid w:val="00D75F9A"/>
    <w:rsid w:val="00D770A9"/>
    <w:rsid w:val="00D811EE"/>
    <w:rsid w:val="00D92980"/>
    <w:rsid w:val="00D97B97"/>
    <w:rsid w:val="00DA2FAC"/>
    <w:rsid w:val="00DA4C7B"/>
    <w:rsid w:val="00DA4CAD"/>
    <w:rsid w:val="00DA5CC2"/>
    <w:rsid w:val="00DA7571"/>
    <w:rsid w:val="00DB1DC8"/>
    <w:rsid w:val="00DB2B71"/>
    <w:rsid w:val="00DB38D9"/>
    <w:rsid w:val="00DC21A8"/>
    <w:rsid w:val="00DC2758"/>
    <w:rsid w:val="00DC281F"/>
    <w:rsid w:val="00DC3B7C"/>
    <w:rsid w:val="00DD181E"/>
    <w:rsid w:val="00DD3066"/>
    <w:rsid w:val="00DD4C5A"/>
    <w:rsid w:val="00DD4D42"/>
    <w:rsid w:val="00DD64EB"/>
    <w:rsid w:val="00DD65CE"/>
    <w:rsid w:val="00DD75C5"/>
    <w:rsid w:val="00DE0B24"/>
    <w:rsid w:val="00DE0F60"/>
    <w:rsid w:val="00DE33FD"/>
    <w:rsid w:val="00DE3472"/>
    <w:rsid w:val="00DE69EB"/>
    <w:rsid w:val="00DF01DF"/>
    <w:rsid w:val="00DF1C03"/>
    <w:rsid w:val="00DF3036"/>
    <w:rsid w:val="00DF51EA"/>
    <w:rsid w:val="00E00DE2"/>
    <w:rsid w:val="00E00E2E"/>
    <w:rsid w:val="00E0327B"/>
    <w:rsid w:val="00E037AB"/>
    <w:rsid w:val="00E126B4"/>
    <w:rsid w:val="00E12873"/>
    <w:rsid w:val="00E130A5"/>
    <w:rsid w:val="00E13F98"/>
    <w:rsid w:val="00E16264"/>
    <w:rsid w:val="00E1780B"/>
    <w:rsid w:val="00E2436F"/>
    <w:rsid w:val="00E246B6"/>
    <w:rsid w:val="00E26EB2"/>
    <w:rsid w:val="00E30467"/>
    <w:rsid w:val="00E31132"/>
    <w:rsid w:val="00E31B94"/>
    <w:rsid w:val="00E3643C"/>
    <w:rsid w:val="00E37143"/>
    <w:rsid w:val="00E3740C"/>
    <w:rsid w:val="00E43636"/>
    <w:rsid w:val="00E44157"/>
    <w:rsid w:val="00E5111B"/>
    <w:rsid w:val="00E5213A"/>
    <w:rsid w:val="00E526D4"/>
    <w:rsid w:val="00E543D2"/>
    <w:rsid w:val="00E54549"/>
    <w:rsid w:val="00E57B9A"/>
    <w:rsid w:val="00E57DA5"/>
    <w:rsid w:val="00E606BE"/>
    <w:rsid w:val="00E62AD3"/>
    <w:rsid w:val="00E64103"/>
    <w:rsid w:val="00E670D1"/>
    <w:rsid w:val="00E73C37"/>
    <w:rsid w:val="00E75396"/>
    <w:rsid w:val="00E76713"/>
    <w:rsid w:val="00E76B54"/>
    <w:rsid w:val="00E82D00"/>
    <w:rsid w:val="00E8377D"/>
    <w:rsid w:val="00E93DED"/>
    <w:rsid w:val="00E96E5D"/>
    <w:rsid w:val="00EA08F6"/>
    <w:rsid w:val="00EA18BB"/>
    <w:rsid w:val="00EA2AF1"/>
    <w:rsid w:val="00EA3A4F"/>
    <w:rsid w:val="00EA509F"/>
    <w:rsid w:val="00EB0260"/>
    <w:rsid w:val="00EB4683"/>
    <w:rsid w:val="00EB604F"/>
    <w:rsid w:val="00EB63D9"/>
    <w:rsid w:val="00EC0615"/>
    <w:rsid w:val="00EC4A26"/>
    <w:rsid w:val="00EC7049"/>
    <w:rsid w:val="00ED623D"/>
    <w:rsid w:val="00ED6B90"/>
    <w:rsid w:val="00ED7314"/>
    <w:rsid w:val="00ED7B7D"/>
    <w:rsid w:val="00EE0619"/>
    <w:rsid w:val="00EE6D79"/>
    <w:rsid w:val="00EF0BF8"/>
    <w:rsid w:val="00EF2C11"/>
    <w:rsid w:val="00EF5EB4"/>
    <w:rsid w:val="00EF6E71"/>
    <w:rsid w:val="00EF7A0D"/>
    <w:rsid w:val="00F006D2"/>
    <w:rsid w:val="00F00AD0"/>
    <w:rsid w:val="00F05A33"/>
    <w:rsid w:val="00F062C7"/>
    <w:rsid w:val="00F07054"/>
    <w:rsid w:val="00F11EF4"/>
    <w:rsid w:val="00F134F9"/>
    <w:rsid w:val="00F173F4"/>
    <w:rsid w:val="00F17409"/>
    <w:rsid w:val="00F22E3E"/>
    <w:rsid w:val="00F2396E"/>
    <w:rsid w:val="00F2610E"/>
    <w:rsid w:val="00F26D9F"/>
    <w:rsid w:val="00F27440"/>
    <w:rsid w:val="00F27E6A"/>
    <w:rsid w:val="00F32840"/>
    <w:rsid w:val="00F33365"/>
    <w:rsid w:val="00F33BFA"/>
    <w:rsid w:val="00F424D1"/>
    <w:rsid w:val="00F50C94"/>
    <w:rsid w:val="00F6201E"/>
    <w:rsid w:val="00F620FC"/>
    <w:rsid w:val="00F64B6D"/>
    <w:rsid w:val="00F704D4"/>
    <w:rsid w:val="00F708B2"/>
    <w:rsid w:val="00F7120E"/>
    <w:rsid w:val="00F73CF3"/>
    <w:rsid w:val="00F75F1A"/>
    <w:rsid w:val="00F813A9"/>
    <w:rsid w:val="00F831D9"/>
    <w:rsid w:val="00F84FAD"/>
    <w:rsid w:val="00F8605F"/>
    <w:rsid w:val="00F87D48"/>
    <w:rsid w:val="00F90889"/>
    <w:rsid w:val="00F910CF"/>
    <w:rsid w:val="00F943A2"/>
    <w:rsid w:val="00F94DF2"/>
    <w:rsid w:val="00F969B6"/>
    <w:rsid w:val="00F96DF1"/>
    <w:rsid w:val="00FA2300"/>
    <w:rsid w:val="00FA3800"/>
    <w:rsid w:val="00FA51B7"/>
    <w:rsid w:val="00FA7C79"/>
    <w:rsid w:val="00FB092B"/>
    <w:rsid w:val="00FB2DF9"/>
    <w:rsid w:val="00FB3E12"/>
    <w:rsid w:val="00FB5081"/>
    <w:rsid w:val="00FB519A"/>
    <w:rsid w:val="00FB785C"/>
    <w:rsid w:val="00FC2125"/>
    <w:rsid w:val="00FC5BCC"/>
    <w:rsid w:val="00FC5E3C"/>
    <w:rsid w:val="00FD54A9"/>
    <w:rsid w:val="00FD6253"/>
    <w:rsid w:val="00FD6F65"/>
    <w:rsid w:val="00FE0FB6"/>
    <w:rsid w:val="00FE13FE"/>
    <w:rsid w:val="00FE1DCF"/>
    <w:rsid w:val="00FE4778"/>
    <w:rsid w:val="00FF5D0D"/>
    <w:rsid w:val="00FF6B93"/>
    <w:rsid w:val="00FF7DD5"/>
    <w:rsid w:val="00FF7F7D"/>
    <w:rsid w:val="01FE281B"/>
    <w:rsid w:val="06660C3D"/>
    <w:rsid w:val="081D153C"/>
    <w:rsid w:val="0A283B0F"/>
    <w:rsid w:val="0BB31550"/>
    <w:rsid w:val="0F1C4739"/>
    <w:rsid w:val="106B79DD"/>
    <w:rsid w:val="10B772E8"/>
    <w:rsid w:val="11D050A9"/>
    <w:rsid w:val="16A754B9"/>
    <w:rsid w:val="176C3D80"/>
    <w:rsid w:val="18E440A6"/>
    <w:rsid w:val="18E759E8"/>
    <w:rsid w:val="199F06DE"/>
    <w:rsid w:val="1BFA0B2B"/>
    <w:rsid w:val="1D1E6F6B"/>
    <w:rsid w:val="1D3C0C06"/>
    <w:rsid w:val="1DA55031"/>
    <w:rsid w:val="1DB21C30"/>
    <w:rsid w:val="1E7F6019"/>
    <w:rsid w:val="218A3AB6"/>
    <w:rsid w:val="235036DA"/>
    <w:rsid w:val="26E63E5F"/>
    <w:rsid w:val="29D74571"/>
    <w:rsid w:val="2B7C2791"/>
    <w:rsid w:val="2D353C3B"/>
    <w:rsid w:val="2E201893"/>
    <w:rsid w:val="2E747037"/>
    <w:rsid w:val="34CD5F4B"/>
    <w:rsid w:val="3A727A0B"/>
    <w:rsid w:val="3BA17702"/>
    <w:rsid w:val="3BBA100A"/>
    <w:rsid w:val="3C917254"/>
    <w:rsid w:val="3CE34BA2"/>
    <w:rsid w:val="3F1B4674"/>
    <w:rsid w:val="4B6E3880"/>
    <w:rsid w:val="4C711F79"/>
    <w:rsid w:val="4E295E3B"/>
    <w:rsid w:val="4EEA7CDD"/>
    <w:rsid w:val="4F20750B"/>
    <w:rsid w:val="4FD2386F"/>
    <w:rsid w:val="50216380"/>
    <w:rsid w:val="51447EBC"/>
    <w:rsid w:val="54573CF1"/>
    <w:rsid w:val="5865507F"/>
    <w:rsid w:val="5A773E9D"/>
    <w:rsid w:val="5CA4290E"/>
    <w:rsid w:val="5FD70F44"/>
    <w:rsid w:val="616E73FE"/>
    <w:rsid w:val="67A179D3"/>
    <w:rsid w:val="6A9861F3"/>
    <w:rsid w:val="6C0E4353"/>
    <w:rsid w:val="721443D4"/>
    <w:rsid w:val="789C41C9"/>
    <w:rsid w:val="791F269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next w:val="1"/>
    <w:qFormat/>
    <w:uiPriority w:val="9"/>
    <w:pPr>
      <w:spacing w:beforeAutospacing="1" w:afterAutospacing="1"/>
      <w:outlineLvl w:val="0"/>
    </w:pPr>
    <w:rPr>
      <w:rFonts w:hint="eastAsia" w:ascii="SimSun" w:hAnsi="SimSun" w:eastAsia="SimSun" w:cs="Times New Roman"/>
      <w:b/>
      <w:bCs/>
      <w:kern w:val="32"/>
      <w:sz w:val="48"/>
      <w:szCs w:val="48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caption"/>
    <w:basedOn w:val="1"/>
    <w:next w:val="1"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7">
    <w:name w:val="header"/>
    <w:basedOn w:val="1"/>
    <w:link w:val="16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Normal (Web)"/>
    <w:basedOn w:val="1"/>
    <w:link w:val="13"/>
    <w:qFormat/>
    <w:uiPriority w:val="0"/>
    <w:pPr>
      <w:spacing w:before="100" w:beforeAutospacing="1" w:after="100" w:afterAutospacing="1" w:line="240" w:lineRule="auto"/>
    </w:pPr>
    <w:rPr>
      <w:sz w:val="24"/>
      <w:szCs w:val="24"/>
    </w:rPr>
  </w:style>
  <w:style w:type="table" w:styleId="10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Текст выноски Знак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Обычный (веб) Знак"/>
    <w:link w:val="9"/>
    <w:qFormat/>
    <w:locked/>
    <w:uiPriority w:val="0"/>
    <w:rPr>
      <w:sz w:val="24"/>
      <w:szCs w:val="24"/>
    </w:rPr>
  </w:style>
  <w:style w:type="paragraph" w:customStyle="1" w:styleId="14">
    <w:name w:val="Абзац списка1"/>
    <w:basedOn w:val="1"/>
    <w:qFormat/>
    <w:uiPriority w:val="0"/>
    <w:pPr>
      <w:ind w:left="720"/>
    </w:pPr>
    <w:rPr>
      <w:rFonts w:ascii="Calibri" w:hAnsi="Calibri" w:eastAsia="Times New Roman" w:cs="Calibri"/>
    </w:rPr>
  </w:style>
  <w:style w:type="paragraph" w:customStyle="1" w:styleId="15">
    <w:name w:val="ConsPlusNormal"/>
    <w:qFormat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lang w:val="ru-RU" w:eastAsia="ru-RU" w:bidi="ar-SA"/>
    </w:rPr>
  </w:style>
  <w:style w:type="character" w:customStyle="1" w:styleId="16">
    <w:name w:val="Верхний колонтитул Знак"/>
    <w:basedOn w:val="3"/>
    <w:link w:val="7"/>
    <w:semiHidden/>
    <w:qFormat/>
    <w:uiPriority w:val="99"/>
  </w:style>
  <w:style w:type="character" w:customStyle="1" w:styleId="17">
    <w:name w:val="Нижний колонтитул Знак"/>
    <w:basedOn w:val="3"/>
    <w:link w:val="8"/>
    <w:qFormat/>
    <w:uiPriority w:val="99"/>
  </w:style>
  <w:style w:type="character" w:customStyle="1" w:styleId="18">
    <w:name w:val="font11"/>
    <w:qFormat/>
    <w:uiPriority w:val="0"/>
    <w:rPr>
      <w:rFonts w:hint="default" w:ascii="Times New Roman" w:hAnsi="Times New Roman" w:cs="Times New Roman"/>
      <w:color w:val="000000"/>
      <w:u w:val="none"/>
    </w:rPr>
  </w:style>
  <w:style w:type="character" w:customStyle="1" w:styleId="19">
    <w:name w:val="font31"/>
    <w:qFormat/>
    <w:uiPriority w:val="0"/>
    <w:rPr>
      <w:rFonts w:hint="default" w:ascii="Times New Roman" w:hAnsi="Times New Roman" w:cs="Times New Roman"/>
      <w:color w:val="000000"/>
      <w:u w:val="none"/>
    </w:rPr>
  </w:style>
  <w:style w:type="character" w:customStyle="1" w:styleId="20">
    <w:name w:val="font41"/>
    <w:qFormat/>
    <w:uiPriority w:val="0"/>
    <w:rPr>
      <w:rFonts w:hint="default" w:ascii="Times New Roman" w:hAnsi="Times New Roman" w:cs="Times New Roman"/>
      <w:b/>
      <w:bCs/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chart" Target="charts/chart2.xml"/><Relationship Id="rId7" Type="http://schemas.openxmlformats.org/officeDocument/2006/relationships/chart" Target="charts/chart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4;&#1086;&#1082;&#1091;&#1084;&#1077;&#1085;&#1090;&#1099;\&#1044;&#1086;&#1082;&#1091;&#1084;&#1077;&#1085;&#1090;&#1099;%202\&#1056;&#1072;&#1079;&#1085;&#1086;&#1077;\&#1050;&#1057;&#1050;\&#1047;&#1072;&#1082;&#1083;&#1102;&#1095;&#1077;&#1085;&#1080;&#1103;\&#1088;&#1072;&#1089;&#1095;&#1077;&#1090;&#1099;%20&#1082;%20&#1073;&#1102;&#1076;&#1078;&#1077;&#1090;&#1091;%20&#1085;&#1072;%202022%20&#1075;&#1086;&#1076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4;&#1086;&#1082;&#1091;&#1084;&#1077;&#1085;&#1090;&#1099;\&#1044;&#1086;&#1082;&#1091;&#1084;&#1077;&#1085;&#1090;&#1099;%202\&#1056;&#1072;&#1079;&#1085;&#1086;&#1077;\&#1050;&#1057;&#1050;\&#1047;&#1072;&#1082;&#1083;&#1102;&#1095;&#1077;&#1085;&#1080;&#1103;\&#1088;&#1072;&#1089;&#1095;&#1077;&#1090;&#1099;%20&#1082;%20&#1073;&#1102;&#1076;&#1078;&#1077;&#1090;&#1091;%20&#1085;&#1072;%202022%20&#1075;&#1086;&#1076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ru-RU"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 sz="1400">
                <a:latin typeface="Times New Roman" panose="02020603050405020304" charset="0"/>
                <a:cs typeface="Times New Roman" panose="02020603050405020304" charset="0"/>
              </a:rPr>
              <a:t>Анализ исполнения расходов бюджета округа в разрезе разделов классификации расходов бюджетов </a:t>
            </a:r>
            <a:endParaRPr lang="ru-RU" sz="1400">
              <a:latin typeface="Times New Roman" panose="02020603050405020304" charset="0"/>
              <a:cs typeface="Times New Roman" panose="02020603050405020304" charset="0"/>
            </a:endParaRPr>
          </a:p>
        </c:rich>
      </c:tx>
      <c:layout>
        <c:manualLayout>
          <c:xMode val="edge"/>
          <c:yMode val="edge"/>
          <c:x val="0.174481110473789"/>
          <c:y val="0.0188679245283019"/>
        </c:manualLayout>
      </c:layout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cat>
            <c:strRef>
              <c:f>'[расчеты к бюджету на 2022 год.xlsx]Лист5'!$A$1:$A$359</c:f>
              <c:strCache>
                <c:ptCount val="12"/>
                <c:pt idx="0">
                  <c:v>Общегосударственные вопросы</c:v>
                </c:pt>
                <c:pt idx="1">
                  <c:v>Национальная оборона</c:v>
                </c:pt>
                <c:pt idx="2">
                  <c:v>Национальная безопасность и правоохранительная деятельность</c:v>
                </c:pt>
                <c:pt idx="3">
                  <c:v>Национальная экономика</c:v>
                </c:pt>
                <c:pt idx="4">
                  <c:v>Жилищно-коммунальное хозяйство</c:v>
                </c:pt>
                <c:pt idx="5">
                  <c:v>Охрана окружающей среды</c:v>
                </c:pt>
                <c:pt idx="6">
                  <c:v>Образование</c:v>
                </c:pt>
                <c:pt idx="7">
                  <c:v>Культура, кинематография</c:v>
                </c:pt>
                <c:pt idx="8">
                  <c:v>Здравоохранение</c:v>
                </c:pt>
                <c:pt idx="9">
                  <c:v>Социальная политика</c:v>
                </c:pt>
                <c:pt idx="10">
                  <c:v>Физическая культура и спорт</c:v>
                </c:pt>
                <c:pt idx="11">
                  <c:v>Средства массовой информации</c:v>
                </c:pt>
              </c:strCache>
            </c:strRef>
          </c:cat>
          <c:val>
            <c:numRef>
              <c:f>'[расчеты к бюджету на 2022 год.xlsx]Лист5'!$B$1:$B$359</c:f>
              <c:numCache>
                <c:formatCode>0.0</c:formatCode>
                <c:ptCount val="12"/>
                <c:pt idx="0">
                  <c:v>5.85693755489222</c:v>
                </c:pt>
                <c:pt idx="1">
                  <c:v>0.048798348524132</c:v>
                </c:pt>
                <c:pt idx="2">
                  <c:v>1.54809375448913</c:v>
                </c:pt>
                <c:pt idx="3">
                  <c:v>9.17446409457468</c:v>
                </c:pt>
                <c:pt idx="4">
                  <c:v>28.2919087353866</c:v>
                </c:pt>
                <c:pt idx="5">
                  <c:v>0.000132867934470006</c:v>
                </c:pt>
                <c:pt idx="6">
                  <c:v>45.2644958876069</c:v>
                </c:pt>
                <c:pt idx="7">
                  <c:v>3.99408936877973</c:v>
                </c:pt>
                <c:pt idx="8">
                  <c:v>0.33211114320918</c:v>
                </c:pt>
                <c:pt idx="9">
                  <c:v>2.16543584320777</c:v>
                </c:pt>
                <c:pt idx="10">
                  <c:v>3.12289003553737</c:v>
                </c:pt>
                <c:pt idx="11">
                  <c:v>0.20064236585781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0952448"/>
        <c:axId val="110953984"/>
      </c:barChart>
      <c:catAx>
        <c:axId val="110952448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110953984"/>
        <c:crosses val="autoZero"/>
        <c:auto val="1"/>
        <c:lblAlgn val="ctr"/>
        <c:lblOffset val="100"/>
        <c:noMultiLvlLbl val="0"/>
      </c:catAx>
      <c:valAx>
        <c:axId val="110953984"/>
        <c:scaling>
          <c:orientation val="minMax"/>
        </c:scaling>
        <c:delete val="0"/>
        <c:axPos val="b"/>
        <c:majorGridlines/>
        <c:numFmt formatCode="0.0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110952448"/>
        <c:crosses val="autoZero"/>
        <c:crossBetween val="between"/>
      </c:valAx>
      <c:spPr>
        <a:gradFill>
          <a:gsLst>
            <a:gs pos="0">
              <a:schemeClr val="accent2">
                <a:lumMod val="60000"/>
                <a:lumOff val="40000"/>
              </a:schemeClr>
            </a:gs>
            <a:gs pos="39999">
              <a:srgbClr val="85C2FF"/>
            </a:gs>
            <a:gs pos="70000">
              <a:srgbClr val="C4D6EB"/>
            </a:gs>
            <a:gs pos="100000">
              <a:srgbClr val="FFEBFA"/>
            </a:gs>
          </a:gsLst>
          <a:lin ang="5400000" scaled="0"/>
        </a:gradFill>
        <a:ln cmpd="sng">
          <a:noFill/>
          <a:prstDash val="sysDash"/>
          <a:miter lim="800000"/>
        </a:ln>
        <a:scene3d>
          <a:camera prst="orthographicFront"/>
          <a:lightRig rig="chilly" dir="t"/>
        </a:scene3d>
        <a:sp3d prstMaterial="dkEdge">
          <a:bevelT w="0" h="0"/>
        </a:sp3d>
      </c:spPr>
    </c:plotArea>
    <c:plotVisOnly val="1"/>
    <c:dispBlanksAs val="gap"/>
    <c:showDLblsOverMax val="0"/>
    <c:extLst>
      <c:ext uri="{0b15fc19-7d7d-44ad-8c2d-2c3a37ce22c3}">
        <chartProps xmlns="https://web.wps.cn/et/2018/main" chartId="{95c7c18f-f086-47ac-b8a6-e4d74f451b82}"/>
      </c:ext>
    </c:extLst>
  </c:chart>
  <c:txPr>
    <a:bodyPr/>
    <a:lstStyle/>
    <a:p>
      <a:pPr>
        <a:defRPr lang="ru-RU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algn="ctr">
              <a:defRPr lang="ru-RU"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0" baseline="0">
                <a:latin typeface="Times New Roman" panose="02020603050405020304" charset="0"/>
                <a:cs typeface="Times New Roman" panose="02020603050405020304" charset="0"/>
              </a:rPr>
              <a:t>Структура финансирования национальных проектов в 2025 году</a:t>
            </a:r>
            <a:endParaRPr lang="ru-RU" sz="1400">
              <a:latin typeface="Times New Roman" panose="02020603050405020304" charset="0"/>
              <a:cs typeface="Times New Roman" panose="02020603050405020304" charset="0"/>
            </a:endParaRPr>
          </a:p>
        </c:rich>
      </c:tx>
      <c:layout>
        <c:manualLayout>
          <c:xMode val="edge"/>
          <c:yMode val="edge"/>
          <c:x val="0.0702207862143242"/>
          <c:y val="0.0725388601036269"/>
        </c:manualLayout>
      </c:layout>
      <c:overlay val="0"/>
    </c:title>
    <c:autoTitleDeleted val="0"/>
    <c:view3D>
      <c:rotX val="50"/>
      <c:rotY val="0"/>
      <c:depthPercent val="10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0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  <c:explosion val="39"/>
          </c:dPt>
          <c:dPt>
            <c:idx val="3"/>
            <c:bubble3D val="0"/>
          </c:dPt>
          <c:dLbls>
            <c:dLbl>
              <c:idx val="0"/>
              <c:layout>
                <c:manualLayout>
                  <c:x val="-0.395713094069076"/>
                  <c:y val="0.0506061275773726"/>
                </c:manualLayout>
              </c:layout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00183363444895"/>
                  <c:y val="-0.00213310974216304"/>
                </c:manualLayout>
              </c:layout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0333259031074465"/>
                  <c:y val="0.309243740905444"/>
                </c:manualLayout>
              </c:layout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0.161550888529887"/>
                  <c:y val="-0.0673575129533679"/>
                </c:manualLayout>
              </c:layout>
              <c:dLblPos val="bestFit"/>
              <c:showLegendKey val="1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1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'[расчеты к бюджету на 2022 год.xlsx]Лист6'!$A$2:$A$5</c:f>
              <c:strCache>
                <c:ptCount val="4"/>
                <c:pt idx="0">
                  <c:v>Национальный проект "Молодежь и дети"</c:v>
                </c:pt>
                <c:pt idx="1">
                  <c:v>Национальный проект "Беспилотные авиационные системы"</c:v>
                </c:pt>
                <c:pt idx="2">
                  <c:v>Национальный проект "Семья"</c:v>
                </c:pt>
                <c:pt idx="3">
                  <c:v>Национальный проект "Инфраструктура для жизни"</c:v>
                </c:pt>
              </c:strCache>
            </c:strRef>
          </c:cat>
          <c:val>
            <c:numRef>
              <c:f>'[расчеты к бюджету на 2022 год.xlsx]Лист6'!$B$2:$B$5</c:f>
              <c:numCache>
                <c:formatCode>General</c:formatCode>
                <c:ptCount val="4"/>
                <c:pt idx="0">
                  <c:v>12.5</c:v>
                </c:pt>
                <c:pt idx="1">
                  <c:v>1.1</c:v>
                </c:pt>
                <c:pt idx="2">
                  <c:v>1.3</c:v>
                </c:pt>
                <c:pt idx="3">
                  <c:v>85.1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</c:pie3DChart>
    </c:plotArea>
    <c:plotVisOnly val="1"/>
    <c:dispBlanksAs val="gap"/>
    <c:showDLblsOverMax val="0"/>
    <c:extLst>
      <c:ext uri="{0b15fc19-7d7d-44ad-8c2d-2c3a37ce22c3}">
        <chartProps xmlns="https://web.wps.cn/et/2018/main" chartId="{ad720765-0a1d-40af-a76a-3699aa7057c0}"/>
      </c:ext>
    </c:extLst>
  </c:chart>
  <c:spPr>
    <a:gradFill>
      <a:gsLst>
        <a:gs pos="0">
          <a:srgbClr val="5E9EFF"/>
        </a:gs>
        <a:gs pos="39999">
          <a:srgbClr val="85C2FF"/>
        </a:gs>
        <a:gs pos="70000">
          <a:srgbClr val="C4D6EB"/>
        </a:gs>
        <a:gs pos="100000">
          <a:srgbClr val="FFEBFA"/>
        </a:gs>
      </a:gsLst>
      <a:lin ang="5400000" scaled="0"/>
    </a:gradFill>
  </c:spPr>
  <c:txPr>
    <a:bodyPr/>
    <a:lstStyle/>
    <a:p>
      <a:pPr>
        <a:defRPr lang="ru-RU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1A33C8-D82C-4E04-8C76-A789C72008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diakov.net</Company>
  <Pages>30</Pages>
  <Words>10136</Words>
  <Characters>57781</Characters>
  <Lines>481</Lines>
  <Paragraphs>135</Paragraphs>
  <TotalTime>3</TotalTime>
  <ScaleCrop>false</ScaleCrop>
  <LinksUpToDate>false</LinksUpToDate>
  <CharactersWithSpaces>67782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2025-04-11T06:16:00Z</dcterms:created>
  <dc:creator>RePack by Diakov</dc:creator>
  <cp:lastModifiedBy>Guskova</cp:lastModifiedBy>
  <cp:lastPrinted>2026-04-16T07:50:27Z</cp:lastPrinted>
  <dcterms:modified xsi:type="dcterms:W3CDTF">2026-04-16T08:38:47Z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996B330531004BA8A23C330F5DB4BB11_13</vt:lpwstr>
  </property>
</Properties>
</file>